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351" w:type="pct"/>
        <w:jc w:val="center"/>
        <w:tblLayout w:type="autofit"/>
        <w:tblCellMar>
          <w:top w:w="0" w:type="dxa"/>
          <w:left w:w="108" w:type="dxa"/>
          <w:bottom w:w="0" w:type="dxa"/>
          <w:right w:w="108" w:type="dxa"/>
        </w:tblCellMar>
      </w:tblPr>
      <w:tblGrid>
        <w:gridCol w:w="656"/>
        <w:gridCol w:w="2689"/>
        <w:gridCol w:w="5775"/>
      </w:tblGrid>
      <w:tr>
        <w:tblPrEx>
          <w:tblCellMar>
            <w:top w:w="0" w:type="dxa"/>
            <w:left w:w="108" w:type="dxa"/>
            <w:bottom w:w="0" w:type="dxa"/>
            <w:right w:w="108" w:type="dxa"/>
          </w:tblCellMar>
        </w:tblPrEx>
        <w:trPr>
          <w:trHeight w:val="840" w:hRule="atLeast"/>
          <w:jc w:val="center"/>
        </w:trPr>
        <w:tc>
          <w:tcPr>
            <w:tcW w:w="5000" w:type="pct"/>
            <w:gridSpan w:val="3"/>
            <w:tcBorders>
              <w:top w:val="nil"/>
              <w:left w:val="nil"/>
              <w:bottom w:val="single" w:color="auto" w:sz="4" w:space="0"/>
              <w:right w:val="nil"/>
            </w:tcBorders>
            <w:shd w:val="clear" w:color="auto" w:fill="auto"/>
            <w:vAlign w:val="center"/>
          </w:tcPr>
          <w:p>
            <w:pPr>
              <w:widowControl/>
              <w:rPr>
                <w:rFonts w:hint="default" w:ascii="Times New Roman" w:hAnsi="Times New Roman" w:eastAsia="仿宋_GB2312" w:cs="Times New Roman"/>
                <w:bCs/>
                <w:color w:val="000000"/>
                <w:kern w:val="0"/>
                <w:sz w:val="28"/>
                <w:szCs w:val="32"/>
              </w:rPr>
            </w:pPr>
            <w:r>
              <w:rPr>
                <w:rFonts w:hint="default" w:ascii="Times New Roman" w:hAnsi="Times New Roman" w:eastAsia="仿宋_GB2312" w:cs="Times New Roman"/>
                <w:bCs/>
                <w:color w:val="000000"/>
                <w:kern w:val="0"/>
                <w:sz w:val="28"/>
                <w:szCs w:val="32"/>
              </w:rPr>
              <w:t>附件2</w:t>
            </w:r>
          </w:p>
          <w:p>
            <w:pPr>
              <w:widowControl/>
              <w:jc w:val="center"/>
              <w:rPr>
                <w:rFonts w:hint="default" w:ascii="Times New Roman" w:hAnsi="Times New Roman" w:eastAsia="方正小标宋_GBK" w:cs="Times New Roman"/>
                <w:bCs/>
                <w:color w:val="000000"/>
                <w:kern w:val="0"/>
                <w:sz w:val="32"/>
                <w:szCs w:val="32"/>
              </w:rPr>
            </w:pPr>
            <w:bookmarkStart w:id="0" w:name="_GoBack"/>
            <w:r>
              <w:rPr>
                <w:rFonts w:hint="default" w:ascii="Times New Roman" w:hAnsi="Times New Roman" w:eastAsia="方正小标宋_GBK" w:cs="Times New Roman"/>
                <w:bCs/>
                <w:color w:val="000000"/>
                <w:kern w:val="0"/>
                <w:sz w:val="44"/>
                <w:szCs w:val="44"/>
              </w:rPr>
              <w:t>宣布失效的规范性、政策性文件目录</w:t>
            </w:r>
            <w:bookmarkEnd w:id="0"/>
          </w:p>
        </w:tc>
      </w:tr>
      <w:tr>
        <w:tblPrEx>
          <w:tblCellMar>
            <w:top w:w="0" w:type="dxa"/>
            <w:left w:w="108" w:type="dxa"/>
            <w:bottom w:w="0" w:type="dxa"/>
            <w:right w:w="108" w:type="dxa"/>
          </w:tblCellMar>
        </w:tblPrEx>
        <w:trPr>
          <w:trHeight w:val="900"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黑体" w:cs="Times New Roman"/>
                <w:bCs/>
                <w:kern w:val="0"/>
                <w:sz w:val="24"/>
                <w:szCs w:val="32"/>
              </w:rPr>
            </w:pPr>
            <w:r>
              <w:rPr>
                <w:rFonts w:hint="default" w:ascii="Times New Roman" w:hAnsi="Times New Roman" w:eastAsia="黑体" w:cs="Times New Roman"/>
                <w:bCs/>
                <w:kern w:val="0"/>
                <w:sz w:val="24"/>
                <w:szCs w:val="32"/>
              </w:rPr>
              <w:t>序号</w:t>
            </w:r>
          </w:p>
        </w:tc>
        <w:tc>
          <w:tcPr>
            <w:tcW w:w="14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黑体" w:cs="Times New Roman"/>
                <w:bCs/>
                <w:kern w:val="0"/>
                <w:sz w:val="24"/>
                <w:szCs w:val="32"/>
              </w:rPr>
            </w:pPr>
            <w:r>
              <w:rPr>
                <w:rFonts w:hint="default" w:ascii="Times New Roman" w:hAnsi="Times New Roman" w:eastAsia="黑体" w:cs="Times New Roman"/>
                <w:bCs/>
                <w:kern w:val="0"/>
                <w:sz w:val="24"/>
                <w:szCs w:val="32"/>
              </w:rPr>
              <w:t>文 号</w:t>
            </w:r>
          </w:p>
        </w:tc>
        <w:tc>
          <w:tcPr>
            <w:tcW w:w="316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黑体" w:cs="Times New Roman"/>
                <w:bCs/>
                <w:kern w:val="0"/>
                <w:sz w:val="24"/>
                <w:szCs w:val="32"/>
              </w:rPr>
            </w:pPr>
            <w:r>
              <w:rPr>
                <w:rFonts w:hint="default" w:ascii="Times New Roman" w:hAnsi="Times New Roman" w:eastAsia="黑体" w:cs="Times New Roman"/>
                <w:bCs/>
                <w:kern w:val="0"/>
                <w:sz w:val="24"/>
                <w:szCs w:val="32"/>
              </w:rPr>
              <w:t>文 件 标 题</w:t>
            </w:r>
          </w:p>
        </w:tc>
      </w:tr>
      <w:tr>
        <w:tblPrEx>
          <w:tblCellMar>
            <w:top w:w="0" w:type="dxa"/>
            <w:left w:w="108" w:type="dxa"/>
            <w:bottom w:w="0" w:type="dxa"/>
            <w:right w:w="108" w:type="dxa"/>
          </w:tblCellMar>
        </w:tblPrEx>
        <w:trPr>
          <w:trHeight w:val="900"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1</w:t>
            </w:r>
          </w:p>
        </w:tc>
        <w:tc>
          <w:tcPr>
            <w:tcW w:w="1474"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通财预</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2022</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49号</w:t>
            </w:r>
          </w:p>
        </w:tc>
        <w:tc>
          <w:tcPr>
            <w:tcW w:w="31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转发省财政厅关于印发土地出让收入用于农业农村省级统筹资金管理办法的通知</w:t>
            </w:r>
          </w:p>
        </w:tc>
      </w:tr>
      <w:tr>
        <w:tblPrEx>
          <w:tblCellMar>
            <w:top w:w="0" w:type="dxa"/>
            <w:left w:w="108" w:type="dxa"/>
            <w:bottom w:w="0" w:type="dxa"/>
            <w:right w:w="108" w:type="dxa"/>
          </w:tblCellMar>
        </w:tblPrEx>
        <w:trPr>
          <w:trHeight w:val="900"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2</w:t>
            </w:r>
          </w:p>
        </w:tc>
        <w:tc>
          <w:tcPr>
            <w:tcW w:w="1474"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通财库</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2019</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4号</w:t>
            </w:r>
          </w:p>
        </w:tc>
        <w:tc>
          <w:tcPr>
            <w:tcW w:w="31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关于转发《江苏省财政厅关于做好2019年财政库款等总预算会计信息报送有关事项的通知》的通知</w:t>
            </w:r>
          </w:p>
        </w:tc>
      </w:tr>
      <w:tr>
        <w:tblPrEx>
          <w:tblCellMar>
            <w:top w:w="0" w:type="dxa"/>
            <w:left w:w="108" w:type="dxa"/>
            <w:bottom w:w="0" w:type="dxa"/>
            <w:right w:w="108" w:type="dxa"/>
          </w:tblCellMar>
        </w:tblPrEx>
        <w:trPr>
          <w:trHeight w:val="900"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3</w:t>
            </w:r>
          </w:p>
        </w:tc>
        <w:tc>
          <w:tcPr>
            <w:tcW w:w="1474"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通财库</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2023</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9号</w:t>
            </w:r>
          </w:p>
        </w:tc>
        <w:tc>
          <w:tcPr>
            <w:tcW w:w="31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关于加强市本级部门预算单位往来资金清理和日常管理工作的通知</w:t>
            </w:r>
          </w:p>
        </w:tc>
      </w:tr>
      <w:tr>
        <w:tblPrEx>
          <w:tblCellMar>
            <w:top w:w="0" w:type="dxa"/>
            <w:left w:w="108" w:type="dxa"/>
            <w:bottom w:w="0" w:type="dxa"/>
            <w:right w:w="108" w:type="dxa"/>
          </w:tblCellMar>
        </w:tblPrEx>
        <w:trPr>
          <w:trHeight w:val="900"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4</w:t>
            </w:r>
          </w:p>
        </w:tc>
        <w:tc>
          <w:tcPr>
            <w:tcW w:w="1474"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通财购</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2020</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43号</w:t>
            </w:r>
          </w:p>
        </w:tc>
        <w:tc>
          <w:tcPr>
            <w:tcW w:w="31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关于做好江苏省政府采购管理交易系统（苏采云）应用工作的通知</w:t>
            </w:r>
          </w:p>
        </w:tc>
      </w:tr>
      <w:tr>
        <w:tblPrEx>
          <w:tblCellMar>
            <w:top w:w="0" w:type="dxa"/>
            <w:left w:w="108" w:type="dxa"/>
            <w:bottom w:w="0" w:type="dxa"/>
            <w:right w:w="108" w:type="dxa"/>
          </w:tblCellMar>
        </w:tblPrEx>
        <w:trPr>
          <w:trHeight w:val="900"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5</w:t>
            </w:r>
          </w:p>
        </w:tc>
        <w:tc>
          <w:tcPr>
            <w:tcW w:w="1474"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通财购</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2020</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44号</w:t>
            </w:r>
          </w:p>
        </w:tc>
        <w:tc>
          <w:tcPr>
            <w:tcW w:w="31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关于政府采购代理机构代理分散采购项目应用苏采云系统的通知</w:t>
            </w:r>
          </w:p>
        </w:tc>
      </w:tr>
      <w:tr>
        <w:tblPrEx>
          <w:tblCellMar>
            <w:top w:w="0" w:type="dxa"/>
            <w:left w:w="108" w:type="dxa"/>
            <w:bottom w:w="0" w:type="dxa"/>
            <w:right w:w="108" w:type="dxa"/>
          </w:tblCellMar>
        </w:tblPrEx>
        <w:trPr>
          <w:trHeight w:val="900"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6</w:t>
            </w:r>
          </w:p>
        </w:tc>
        <w:tc>
          <w:tcPr>
            <w:tcW w:w="1474"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通财购</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2021</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46号</w:t>
            </w:r>
          </w:p>
        </w:tc>
        <w:tc>
          <w:tcPr>
            <w:tcW w:w="31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转发江苏省财政厅《关于加快做好预算一体化系统预算执行板块实施部署工作的通知》</w:t>
            </w:r>
          </w:p>
        </w:tc>
      </w:tr>
      <w:tr>
        <w:tblPrEx>
          <w:tblCellMar>
            <w:top w:w="0" w:type="dxa"/>
            <w:left w:w="108" w:type="dxa"/>
            <w:bottom w:w="0" w:type="dxa"/>
            <w:right w:w="108" w:type="dxa"/>
          </w:tblCellMar>
        </w:tblPrEx>
        <w:trPr>
          <w:trHeight w:val="900"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7</w:t>
            </w:r>
          </w:p>
        </w:tc>
        <w:tc>
          <w:tcPr>
            <w:tcW w:w="1474"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通财购</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2023</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24号</w:t>
            </w:r>
          </w:p>
        </w:tc>
        <w:tc>
          <w:tcPr>
            <w:tcW w:w="31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转发《关于修订江苏政府采购网公告数据接口规范的通知》的通知</w:t>
            </w:r>
          </w:p>
        </w:tc>
      </w:tr>
      <w:tr>
        <w:tblPrEx>
          <w:tblCellMar>
            <w:top w:w="0" w:type="dxa"/>
            <w:left w:w="108" w:type="dxa"/>
            <w:bottom w:w="0" w:type="dxa"/>
            <w:right w:w="108" w:type="dxa"/>
          </w:tblCellMar>
        </w:tblPrEx>
        <w:trPr>
          <w:trHeight w:val="900"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8</w:t>
            </w:r>
          </w:p>
        </w:tc>
        <w:tc>
          <w:tcPr>
            <w:tcW w:w="1474"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通财库</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2024</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18号</w:t>
            </w:r>
          </w:p>
        </w:tc>
        <w:tc>
          <w:tcPr>
            <w:tcW w:w="31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关于进一步加强市本级部门预算单位往来资金和专户管理结余资金清理的通知</w:t>
            </w:r>
          </w:p>
        </w:tc>
      </w:tr>
      <w:tr>
        <w:tblPrEx>
          <w:tblCellMar>
            <w:top w:w="0" w:type="dxa"/>
            <w:left w:w="108" w:type="dxa"/>
            <w:bottom w:w="0" w:type="dxa"/>
            <w:right w:w="108" w:type="dxa"/>
          </w:tblCellMar>
        </w:tblPrEx>
        <w:trPr>
          <w:trHeight w:val="900"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9</w:t>
            </w:r>
          </w:p>
        </w:tc>
        <w:tc>
          <w:tcPr>
            <w:tcW w:w="1474"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通财购</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2025</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32号</w:t>
            </w:r>
          </w:p>
        </w:tc>
        <w:tc>
          <w:tcPr>
            <w:tcW w:w="31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转发江苏省财政厅 公安厅 市场监督管理局《关于开展</w:t>
            </w:r>
            <w:r>
              <w:rPr>
                <w:rFonts w:hint="default" w:ascii="Times New Roman" w:hAnsi="Times New Roman" w:eastAsia="仿宋_GB2312" w:cs="Times New Roman"/>
                <w:color w:val="000000"/>
                <w:kern w:val="0"/>
                <w:sz w:val="24"/>
                <w:szCs w:val="32"/>
              </w:rPr>
              <w:t>2025</w:t>
            </w:r>
            <w:r>
              <w:rPr>
                <w:rFonts w:hint="default" w:ascii="Times New Roman" w:hAnsi="Times New Roman" w:eastAsia="仿宋_GB2312" w:cs="Times New Roman"/>
                <w:color w:val="000000"/>
                <w:kern w:val="0"/>
                <w:sz w:val="24"/>
                <w:szCs w:val="32"/>
              </w:rPr>
              <w:t>年政府采购领域“四类”违法违规行为专项整治工作的通知》</w:t>
            </w:r>
          </w:p>
        </w:tc>
      </w:tr>
      <w:tr>
        <w:tblPrEx>
          <w:tblCellMar>
            <w:top w:w="0" w:type="dxa"/>
            <w:left w:w="108" w:type="dxa"/>
            <w:bottom w:w="0" w:type="dxa"/>
            <w:right w:w="108" w:type="dxa"/>
          </w:tblCellMar>
        </w:tblPrEx>
        <w:trPr>
          <w:trHeight w:val="900"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10</w:t>
            </w:r>
          </w:p>
        </w:tc>
        <w:tc>
          <w:tcPr>
            <w:tcW w:w="14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通财税法</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2018</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12号</w:t>
            </w:r>
          </w:p>
        </w:tc>
        <w:tc>
          <w:tcPr>
            <w:tcW w:w="316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关于公布第五批获得免税资格的市属非营利组织名单的通知</w:t>
            </w:r>
          </w:p>
        </w:tc>
      </w:tr>
      <w:tr>
        <w:tblPrEx>
          <w:tblCellMar>
            <w:top w:w="0" w:type="dxa"/>
            <w:left w:w="108" w:type="dxa"/>
            <w:bottom w:w="0" w:type="dxa"/>
            <w:right w:w="108" w:type="dxa"/>
          </w:tblCellMar>
        </w:tblPrEx>
        <w:trPr>
          <w:trHeight w:val="900"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11</w:t>
            </w:r>
          </w:p>
        </w:tc>
        <w:tc>
          <w:tcPr>
            <w:tcW w:w="14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通财税法</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2019</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4号</w:t>
            </w:r>
          </w:p>
        </w:tc>
        <w:tc>
          <w:tcPr>
            <w:tcW w:w="316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关于转发《关于贯彻实施小微企业普惠性税收减免政策的通知》的通知</w:t>
            </w:r>
          </w:p>
        </w:tc>
      </w:tr>
      <w:tr>
        <w:tblPrEx>
          <w:tblCellMar>
            <w:top w:w="0" w:type="dxa"/>
            <w:left w:w="108" w:type="dxa"/>
            <w:bottom w:w="0" w:type="dxa"/>
            <w:right w:w="108" w:type="dxa"/>
          </w:tblCellMar>
        </w:tblPrEx>
        <w:trPr>
          <w:trHeight w:val="900"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12</w:t>
            </w:r>
          </w:p>
        </w:tc>
        <w:tc>
          <w:tcPr>
            <w:tcW w:w="14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通财税法</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2020</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2号</w:t>
            </w:r>
          </w:p>
        </w:tc>
        <w:tc>
          <w:tcPr>
            <w:tcW w:w="316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关于公布第六批获得免税资格的市区非营利组织名单的通知</w:t>
            </w:r>
          </w:p>
        </w:tc>
      </w:tr>
      <w:tr>
        <w:tblPrEx>
          <w:tblCellMar>
            <w:top w:w="0" w:type="dxa"/>
            <w:left w:w="108" w:type="dxa"/>
            <w:bottom w:w="0" w:type="dxa"/>
            <w:right w:w="108" w:type="dxa"/>
          </w:tblCellMar>
        </w:tblPrEx>
        <w:trPr>
          <w:trHeight w:val="900"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13</w:t>
            </w:r>
          </w:p>
        </w:tc>
        <w:tc>
          <w:tcPr>
            <w:tcW w:w="14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通财税法</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2021</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2号</w:t>
            </w:r>
          </w:p>
        </w:tc>
        <w:tc>
          <w:tcPr>
            <w:tcW w:w="316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关于公布第七批获得免税资格的市区非营利组织名单的通知</w:t>
            </w:r>
          </w:p>
        </w:tc>
      </w:tr>
      <w:tr>
        <w:tblPrEx>
          <w:tblCellMar>
            <w:top w:w="0" w:type="dxa"/>
            <w:left w:w="108" w:type="dxa"/>
            <w:bottom w:w="0" w:type="dxa"/>
            <w:right w:w="108" w:type="dxa"/>
          </w:tblCellMar>
        </w:tblPrEx>
        <w:trPr>
          <w:trHeight w:val="900"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14</w:t>
            </w:r>
          </w:p>
        </w:tc>
        <w:tc>
          <w:tcPr>
            <w:tcW w:w="14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通财税法</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2022</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1号</w:t>
            </w:r>
          </w:p>
        </w:tc>
        <w:tc>
          <w:tcPr>
            <w:tcW w:w="316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关于公布第八批获得免税资格的市区非营利组织名单的通知</w:t>
            </w:r>
          </w:p>
        </w:tc>
      </w:tr>
      <w:tr>
        <w:tblPrEx>
          <w:tblCellMar>
            <w:top w:w="0" w:type="dxa"/>
            <w:left w:w="108" w:type="dxa"/>
            <w:bottom w:w="0" w:type="dxa"/>
            <w:right w:w="108" w:type="dxa"/>
          </w:tblCellMar>
        </w:tblPrEx>
        <w:trPr>
          <w:trHeight w:val="900"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15</w:t>
            </w:r>
          </w:p>
        </w:tc>
        <w:tc>
          <w:tcPr>
            <w:tcW w:w="14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通财工贸</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2021</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23号</w:t>
            </w:r>
          </w:p>
        </w:tc>
        <w:tc>
          <w:tcPr>
            <w:tcW w:w="31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关于报送市本级国有资本经营预算管理系统需求信息的通知</w:t>
            </w:r>
          </w:p>
        </w:tc>
      </w:tr>
      <w:tr>
        <w:tblPrEx>
          <w:tblCellMar>
            <w:top w:w="0" w:type="dxa"/>
            <w:left w:w="108" w:type="dxa"/>
            <w:bottom w:w="0" w:type="dxa"/>
            <w:right w:w="108" w:type="dxa"/>
          </w:tblCellMar>
        </w:tblPrEx>
        <w:trPr>
          <w:trHeight w:val="900"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16</w:t>
            </w:r>
          </w:p>
        </w:tc>
        <w:tc>
          <w:tcPr>
            <w:tcW w:w="14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通财工贸</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2022</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20号</w:t>
            </w:r>
          </w:p>
        </w:tc>
        <w:tc>
          <w:tcPr>
            <w:tcW w:w="31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关于转发《关于做好应急物资保障体系建设补助资金绩效评价发现问题整改工作的通知》的通知</w:t>
            </w:r>
          </w:p>
        </w:tc>
      </w:tr>
      <w:tr>
        <w:tblPrEx>
          <w:tblCellMar>
            <w:top w:w="0" w:type="dxa"/>
            <w:left w:w="108" w:type="dxa"/>
            <w:bottom w:w="0" w:type="dxa"/>
            <w:right w:w="108" w:type="dxa"/>
          </w:tblCellMar>
        </w:tblPrEx>
        <w:trPr>
          <w:trHeight w:val="900"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17</w:t>
            </w:r>
          </w:p>
        </w:tc>
        <w:tc>
          <w:tcPr>
            <w:tcW w:w="14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通财金</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2020</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4号</w:t>
            </w:r>
          </w:p>
        </w:tc>
        <w:tc>
          <w:tcPr>
            <w:tcW w:w="316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转发关于国有金融企业积极做好疫情防控捐赠有关事项的通知</w:t>
            </w:r>
          </w:p>
        </w:tc>
      </w:tr>
      <w:tr>
        <w:tblPrEx>
          <w:tblCellMar>
            <w:top w:w="0" w:type="dxa"/>
            <w:left w:w="108" w:type="dxa"/>
            <w:bottom w:w="0" w:type="dxa"/>
            <w:right w:w="108" w:type="dxa"/>
          </w:tblCellMar>
        </w:tblPrEx>
        <w:trPr>
          <w:trHeight w:val="900"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18</w:t>
            </w:r>
          </w:p>
        </w:tc>
        <w:tc>
          <w:tcPr>
            <w:tcW w:w="14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通财金</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2023</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20号</w:t>
            </w:r>
          </w:p>
        </w:tc>
        <w:tc>
          <w:tcPr>
            <w:tcW w:w="316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关于调整市区“小微贷”产品合作担保机构的通知</w:t>
            </w:r>
          </w:p>
        </w:tc>
      </w:tr>
      <w:tr>
        <w:tblPrEx>
          <w:tblCellMar>
            <w:top w:w="0" w:type="dxa"/>
            <w:left w:w="108" w:type="dxa"/>
            <w:bottom w:w="0" w:type="dxa"/>
            <w:right w:w="108" w:type="dxa"/>
          </w:tblCellMar>
        </w:tblPrEx>
        <w:trPr>
          <w:trHeight w:val="900"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19</w:t>
            </w:r>
          </w:p>
        </w:tc>
        <w:tc>
          <w:tcPr>
            <w:tcW w:w="14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通财金</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2023</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22号</w:t>
            </w:r>
          </w:p>
        </w:tc>
        <w:tc>
          <w:tcPr>
            <w:tcW w:w="316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关于印发《南通市推进农业保险高质量发展三年工作方案（</w:t>
            </w:r>
            <w:r>
              <w:rPr>
                <w:rFonts w:hint="default" w:ascii="Times New Roman" w:hAnsi="Times New Roman" w:eastAsia="仿宋_GB2312" w:cs="Times New Roman"/>
                <w:color w:val="000000"/>
                <w:kern w:val="0"/>
                <w:sz w:val="24"/>
                <w:szCs w:val="32"/>
              </w:rPr>
              <w:t>2023</w:t>
            </w:r>
            <w:r>
              <w:rPr>
                <w:rFonts w:hint="default" w:ascii="Times New Roman" w:hAnsi="Times New Roman" w:eastAsia="仿宋_GB2312" w:cs="Times New Roman"/>
                <w:color w:val="000000"/>
                <w:kern w:val="0"/>
                <w:sz w:val="24"/>
                <w:szCs w:val="32"/>
              </w:rPr>
              <w:t>-</w:t>
            </w:r>
            <w:r>
              <w:rPr>
                <w:rFonts w:hint="default" w:ascii="Times New Roman" w:hAnsi="Times New Roman" w:eastAsia="仿宋_GB2312" w:cs="Times New Roman"/>
                <w:color w:val="000000"/>
                <w:kern w:val="0"/>
                <w:sz w:val="24"/>
                <w:szCs w:val="32"/>
              </w:rPr>
              <w:t>2025</w:t>
            </w:r>
            <w:r>
              <w:rPr>
                <w:rFonts w:hint="default" w:ascii="Times New Roman" w:hAnsi="Times New Roman" w:eastAsia="仿宋_GB2312" w:cs="Times New Roman"/>
                <w:color w:val="000000"/>
                <w:kern w:val="0"/>
                <w:sz w:val="24"/>
                <w:szCs w:val="32"/>
              </w:rPr>
              <w:t>）》的通知</w:t>
            </w:r>
          </w:p>
        </w:tc>
      </w:tr>
      <w:tr>
        <w:tblPrEx>
          <w:tblCellMar>
            <w:top w:w="0" w:type="dxa"/>
            <w:left w:w="108" w:type="dxa"/>
            <w:bottom w:w="0" w:type="dxa"/>
            <w:right w:w="108" w:type="dxa"/>
          </w:tblCellMar>
        </w:tblPrEx>
        <w:trPr>
          <w:trHeight w:val="900"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20</w:t>
            </w:r>
          </w:p>
        </w:tc>
        <w:tc>
          <w:tcPr>
            <w:tcW w:w="14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通财行</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2024</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1号</w:t>
            </w:r>
          </w:p>
        </w:tc>
        <w:tc>
          <w:tcPr>
            <w:tcW w:w="316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关于明确</w:t>
            </w:r>
            <w:r>
              <w:rPr>
                <w:rFonts w:hint="default" w:ascii="Times New Roman" w:hAnsi="Times New Roman" w:eastAsia="仿宋_GB2312" w:cs="Times New Roman"/>
                <w:color w:val="000000"/>
                <w:kern w:val="0"/>
                <w:sz w:val="24"/>
                <w:szCs w:val="32"/>
              </w:rPr>
              <w:t>2024-2025</w:t>
            </w:r>
            <w:r>
              <w:rPr>
                <w:rFonts w:hint="default" w:ascii="Times New Roman" w:hAnsi="Times New Roman" w:eastAsia="仿宋_GB2312" w:cs="Times New Roman"/>
                <w:color w:val="000000"/>
                <w:kern w:val="0"/>
                <w:sz w:val="24"/>
                <w:szCs w:val="32"/>
              </w:rPr>
              <w:t>年度南通市党政机关会议定点场所的通知</w:t>
            </w:r>
          </w:p>
        </w:tc>
      </w:tr>
      <w:tr>
        <w:tblPrEx>
          <w:tblCellMar>
            <w:top w:w="0" w:type="dxa"/>
            <w:left w:w="108" w:type="dxa"/>
            <w:bottom w:w="0" w:type="dxa"/>
            <w:right w:w="108" w:type="dxa"/>
          </w:tblCellMar>
        </w:tblPrEx>
        <w:trPr>
          <w:trHeight w:val="900"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21</w:t>
            </w:r>
          </w:p>
        </w:tc>
        <w:tc>
          <w:tcPr>
            <w:tcW w:w="14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通财行</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2025</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39号</w:t>
            </w:r>
          </w:p>
        </w:tc>
        <w:tc>
          <w:tcPr>
            <w:tcW w:w="316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关于印发《南通市级机关</w:t>
            </w:r>
            <w:r>
              <w:rPr>
                <w:rFonts w:hint="default" w:ascii="Times New Roman" w:hAnsi="Times New Roman" w:eastAsia="仿宋_GB2312" w:cs="Times New Roman"/>
                <w:color w:val="000000"/>
                <w:kern w:val="0"/>
                <w:sz w:val="24"/>
                <w:szCs w:val="32"/>
              </w:rPr>
              <w:t>“</w:t>
            </w:r>
            <w:r>
              <w:rPr>
                <w:rFonts w:hint="default" w:ascii="Times New Roman" w:hAnsi="Times New Roman" w:eastAsia="仿宋_GB2312" w:cs="Times New Roman"/>
                <w:color w:val="000000"/>
                <w:kern w:val="0"/>
                <w:sz w:val="24"/>
                <w:szCs w:val="32"/>
              </w:rPr>
              <w:t>三公”经费使用管理突出问题整治实施方案》的通知</w:t>
            </w:r>
          </w:p>
        </w:tc>
      </w:tr>
      <w:tr>
        <w:tblPrEx>
          <w:tblCellMar>
            <w:top w:w="0" w:type="dxa"/>
            <w:left w:w="108" w:type="dxa"/>
            <w:bottom w:w="0" w:type="dxa"/>
            <w:right w:w="108" w:type="dxa"/>
          </w:tblCellMar>
        </w:tblPrEx>
        <w:trPr>
          <w:trHeight w:val="900"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22</w:t>
            </w:r>
          </w:p>
        </w:tc>
        <w:tc>
          <w:tcPr>
            <w:tcW w:w="14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通财社</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2020</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22号</w:t>
            </w:r>
          </w:p>
        </w:tc>
        <w:tc>
          <w:tcPr>
            <w:tcW w:w="31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关于划转国有金融资本股权的通知</w:t>
            </w:r>
          </w:p>
        </w:tc>
      </w:tr>
      <w:tr>
        <w:tblPrEx>
          <w:tblCellMar>
            <w:top w:w="0" w:type="dxa"/>
            <w:left w:w="108" w:type="dxa"/>
            <w:bottom w:w="0" w:type="dxa"/>
            <w:right w:w="108" w:type="dxa"/>
          </w:tblCellMar>
        </w:tblPrEx>
        <w:trPr>
          <w:trHeight w:val="900"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23</w:t>
            </w:r>
          </w:p>
        </w:tc>
        <w:tc>
          <w:tcPr>
            <w:tcW w:w="14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通财资</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2023</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1号</w:t>
            </w:r>
          </w:p>
        </w:tc>
        <w:tc>
          <w:tcPr>
            <w:tcW w:w="31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关于公布</w:t>
            </w:r>
            <w:r>
              <w:rPr>
                <w:rFonts w:hint="default" w:ascii="Times New Roman" w:hAnsi="Times New Roman" w:eastAsia="仿宋_GB2312" w:cs="Times New Roman"/>
                <w:color w:val="000000"/>
                <w:kern w:val="0"/>
                <w:sz w:val="24"/>
                <w:szCs w:val="32"/>
              </w:rPr>
              <w:t>2023-2024</w:t>
            </w:r>
            <w:r>
              <w:rPr>
                <w:rFonts w:hint="default" w:ascii="Times New Roman" w:hAnsi="Times New Roman" w:eastAsia="仿宋_GB2312" w:cs="Times New Roman"/>
                <w:color w:val="000000"/>
                <w:kern w:val="0"/>
                <w:sz w:val="24"/>
                <w:szCs w:val="32"/>
              </w:rPr>
              <w:t>年度市本级行政事业单位资产评估及拍卖（租）服务单位的通知</w:t>
            </w:r>
          </w:p>
        </w:tc>
      </w:tr>
      <w:tr>
        <w:tblPrEx>
          <w:tblCellMar>
            <w:top w:w="0" w:type="dxa"/>
            <w:left w:w="108" w:type="dxa"/>
            <w:bottom w:w="0" w:type="dxa"/>
            <w:right w:w="108" w:type="dxa"/>
          </w:tblCellMar>
        </w:tblPrEx>
        <w:trPr>
          <w:trHeight w:val="900"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24</w:t>
            </w:r>
          </w:p>
        </w:tc>
        <w:tc>
          <w:tcPr>
            <w:tcW w:w="14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通财资</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2024</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13号</w:t>
            </w:r>
          </w:p>
        </w:tc>
        <w:tc>
          <w:tcPr>
            <w:tcW w:w="316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关于建立国有资产清查利用推进工作周报制度的通知</w:t>
            </w:r>
          </w:p>
        </w:tc>
      </w:tr>
      <w:tr>
        <w:tblPrEx>
          <w:tblCellMar>
            <w:top w:w="0" w:type="dxa"/>
            <w:left w:w="108" w:type="dxa"/>
            <w:bottom w:w="0" w:type="dxa"/>
            <w:right w:w="108" w:type="dxa"/>
          </w:tblCellMar>
        </w:tblPrEx>
        <w:trPr>
          <w:trHeight w:val="900"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25</w:t>
            </w:r>
          </w:p>
        </w:tc>
        <w:tc>
          <w:tcPr>
            <w:tcW w:w="14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通财资</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2024</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15号</w:t>
            </w:r>
          </w:p>
        </w:tc>
        <w:tc>
          <w:tcPr>
            <w:tcW w:w="316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关于印发《南通市本级行政事业性国有资产清查工作方案》的通知</w:t>
            </w:r>
          </w:p>
        </w:tc>
      </w:tr>
      <w:tr>
        <w:tblPrEx>
          <w:tblCellMar>
            <w:top w:w="0" w:type="dxa"/>
            <w:left w:w="108" w:type="dxa"/>
            <w:bottom w:w="0" w:type="dxa"/>
            <w:right w:w="108" w:type="dxa"/>
          </w:tblCellMar>
        </w:tblPrEx>
        <w:trPr>
          <w:trHeight w:val="900"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26</w:t>
            </w:r>
          </w:p>
        </w:tc>
        <w:tc>
          <w:tcPr>
            <w:tcW w:w="14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通财资</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2024</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16号</w:t>
            </w:r>
          </w:p>
        </w:tc>
        <w:tc>
          <w:tcPr>
            <w:tcW w:w="316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关于印发《南通市国有资产清查工作实施细则》的通知</w:t>
            </w:r>
          </w:p>
        </w:tc>
      </w:tr>
      <w:tr>
        <w:tblPrEx>
          <w:tblCellMar>
            <w:top w:w="0" w:type="dxa"/>
            <w:left w:w="108" w:type="dxa"/>
            <w:bottom w:w="0" w:type="dxa"/>
            <w:right w:w="108" w:type="dxa"/>
          </w:tblCellMar>
        </w:tblPrEx>
        <w:trPr>
          <w:trHeight w:val="900"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27</w:t>
            </w:r>
          </w:p>
        </w:tc>
        <w:tc>
          <w:tcPr>
            <w:tcW w:w="14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通资清办</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2024</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1号</w:t>
            </w:r>
          </w:p>
        </w:tc>
        <w:tc>
          <w:tcPr>
            <w:tcW w:w="316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关于印发《国有资产盘活利用工作指导意见》的通知</w:t>
            </w:r>
          </w:p>
        </w:tc>
      </w:tr>
      <w:tr>
        <w:tblPrEx>
          <w:tblCellMar>
            <w:top w:w="0" w:type="dxa"/>
            <w:left w:w="108" w:type="dxa"/>
            <w:bottom w:w="0" w:type="dxa"/>
            <w:right w:w="108" w:type="dxa"/>
          </w:tblCellMar>
        </w:tblPrEx>
        <w:trPr>
          <w:trHeight w:val="900"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28</w:t>
            </w:r>
          </w:p>
        </w:tc>
        <w:tc>
          <w:tcPr>
            <w:tcW w:w="14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通财会</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2022</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29号</w:t>
            </w:r>
          </w:p>
        </w:tc>
        <w:tc>
          <w:tcPr>
            <w:tcW w:w="31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关于开展南通市第一期会计领军人才（江海名会）选拔培养工作的通知</w:t>
            </w:r>
          </w:p>
        </w:tc>
      </w:tr>
      <w:tr>
        <w:tblPrEx>
          <w:tblCellMar>
            <w:top w:w="0" w:type="dxa"/>
            <w:left w:w="108" w:type="dxa"/>
            <w:bottom w:w="0" w:type="dxa"/>
            <w:right w:w="108" w:type="dxa"/>
          </w:tblCellMar>
        </w:tblPrEx>
        <w:trPr>
          <w:trHeight w:val="900" w:hRule="atLeast"/>
          <w:jc w:val="center"/>
        </w:trPr>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29</w:t>
            </w:r>
          </w:p>
        </w:tc>
        <w:tc>
          <w:tcPr>
            <w:tcW w:w="14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通财监</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2023</w:t>
            </w:r>
            <w:r>
              <w:rPr>
                <w:rFonts w:hint="default" w:ascii="Times New Roman" w:hAnsi="Times New Roman" w:eastAsia="仿宋_GB2312" w:cs="Times New Roman"/>
                <w:color w:val="000000"/>
                <w:kern w:val="0"/>
                <w:sz w:val="24"/>
                <w:szCs w:val="32"/>
                <w:lang w:eastAsia="zh-CN"/>
              </w:rPr>
              <w:t>〕</w:t>
            </w:r>
            <w:r>
              <w:rPr>
                <w:rFonts w:hint="default" w:ascii="Times New Roman" w:hAnsi="Times New Roman" w:eastAsia="仿宋_GB2312" w:cs="Times New Roman"/>
                <w:color w:val="000000"/>
                <w:kern w:val="0"/>
                <w:sz w:val="24"/>
                <w:szCs w:val="32"/>
              </w:rPr>
              <w:t>6号</w:t>
            </w:r>
          </w:p>
        </w:tc>
        <w:tc>
          <w:tcPr>
            <w:tcW w:w="3165"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color w:val="000000"/>
                <w:kern w:val="0"/>
                <w:sz w:val="24"/>
                <w:szCs w:val="32"/>
              </w:rPr>
            </w:pPr>
            <w:r>
              <w:rPr>
                <w:rFonts w:hint="default" w:ascii="Times New Roman" w:hAnsi="Times New Roman" w:eastAsia="仿宋_GB2312" w:cs="Times New Roman"/>
                <w:color w:val="000000"/>
                <w:kern w:val="0"/>
                <w:sz w:val="24"/>
                <w:szCs w:val="32"/>
              </w:rPr>
              <w:t>南通市财政局关于开展财会监督专项行动的通知</w:t>
            </w:r>
          </w:p>
        </w:tc>
      </w:tr>
    </w:tbl>
    <w:p>
      <w:pPr>
        <w:rPr>
          <w:rFonts w:hint="default" w:ascii="Times New Roman" w:hAnsi="Times New Roman" w:cs="Times New Roma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0B7"/>
    <w:rsid w:val="005040B7"/>
    <w:rsid w:val="006459FF"/>
    <w:rsid w:val="00F16B64"/>
    <w:rsid w:val="00F278F7"/>
    <w:rsid w:val="77937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214</Words>
  <Characters>1223</Characters>
  <Lines>10</Lines>
  <Paragraphs>2</Paragraphs>
  <TotalTime>11</TotalTime>
  <ScaleCrop>false</ScaleCrop>
  <LinksUpToDate>false</LinksUpToDate>
  <CharactersWithSpaces>1435</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2026-04-17T03:05:00Z</dcterms:created>
  <dc:creator>曾雨欣</dc:creator>
  <cp:lastModifiedBy>张晓云</cp:lastModifiedBy>
  <dcterms:modified xsi:type="dcterms:W3CDTF">2026-04-23T08:59:54Z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FB1F7FC75F314DA2A52E922C0064E129</vt:lpwstr>
  </property>
</Properties>
</file>