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pacing w:line="520" w:lineRule="exact"/>
        <w:jc w:val="center"/>
        <w:outlineLvl w:val="0"/>
        <w:rPr>
          <w:rFonts w:hint="eastAsia" w:ascii="宋体" w:hAnsi="宋体" w:eastAsia="宋体" w:cs="宋体"/>
          <w:b/>
          <w:color w:val="auto"/>
          <w:w w:val="80"/>
          <w:kern w:val="44"/>
          <w:sz w:val="36"/>
          <w:szCs w:val="36"/>
          <w:highlight w:val="none"/>
        </w:rPr>
      </w:pPr>
      <w:bookmarkStart w:id="1" w:name="_GoBack"/>
      <w:bookmarkEnd w:id="1"/>
      <w:r>
        <w:rPr>
          <w:rFonts w:hint="eastAsia" w:ascii="宋体" w:hAnsi="宋体" w:eastAsia="宋体" w:cs="宋体"/>
          <w:b/>
          <w:color w:val="auto"/>
          <w:w w:val="80"/>
          <w:kern w:val="44"/>
          <w:sz w:val="36"/>
          <w:szCs w:val="36"/>
          <w:highlight w:val="none"/>
          <w:u w:val="none"/>
        </w:rPr>
        <w:t>南通市</w:t>
      </w:r>
      <w:r>
        <w:rPr>
          <w:rFonts w:hint="eastAsia" w:ascii="宋体" w:hAnsi="宋体" w:eastAsia="宋体" w:cs="宋体"/>
          <w:b/>
          <w:color w:val="auto"/>
          <w:w w:val="80"/>
          <w:kern w:val="44"/>
          <w:sz w:val="36"/>
          <w:szCs w:val="36"/>
          <w:highlight w:val="none"/>
          <w:u w:val="none"/>
        </w:rPr>
        <w:t>区</w:t>
      </w:r>
      <w:r>
        <w:rPr>
          <w:rFonts w:hint="eastAsia" w:ascii="宋体" w:hAnsi="宋体" w:eastAsia="宋体" w:cs="宋体"/>
          <w:b/>
          <w:color w:val="auto"/>
          <w:w w:val="80"/>
          <w:kern w:val="44"/>
          <w:sz w:val="36"/>
          <w:szCs w:val="36"/>
          <w:highlight w:val="none"/>
          <w:u w:val="none"/>
        </w:rPr>
        <w:t>2026年度地方政府专项债券发行对应项目财务评估服务项目</w:t>
      </w:r>
      <w:r>
        <w:rPr>
          <w:rFonts w:hint="eastAsia" w:ascii="宋体" w:hAnsi="宋体" w:eastAsia="宋体" w:cs="宋体"/>
          <w:b/>
          <w:color w:val="auto"/>
          <w:w w:val="80"/>
          <w:kern w:val="44"/>
          <w:sz w:val="36"/>
          <w:szCs w:val="36"/>
          <w:highlight w:val="none"/>
        </w:rPr>
        <w:t>需求</w:t>
      </w:r>
    </w:p>
    <w:p>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开展南通市</w:t>
      </w:r>
      <w:r>
        <w:rPr>
          <w:rFonts w:ascii="宋体" w:hAnsi="宋体" w:eastAsia="宋体" w:cs="宋体"/>
          <w:i w:val="0"/>
          <w:iCs w:val="0"/>
          <w:caps w:val="0"/>
          <w:color w:val="000000"/>
          <w:spacing w:val="0"/>
          <w:sz w:val="24"/>
          <w:szCs w:val="24"/>
        </w:rPr>
        <w:t>区</w:t>
      </w:r>
      <w:r>
        <w:rPr>
          <w:rFonts w:hint="eastAsia" w:ascii="宋体" w:eastAsia="宋体" w:cs="宋体"/>
          <w:color w:val="auto"/>
          <w:kern w:val="0"/>
          <w:sz w:val="24"/>
          <w:szCs w:val="24"/>
          <w:highlight w:val="none"/>
        </w:rPr>
        <w:t>2026年度地方政府专项债券发行对应项目财务评估服务，由会计师事务所出具财务评估报告。</w:t>
      </w:r>
    </w:p>
    <w:p>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二、服务内容</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根据《关于转发财政部地方政府债务信息公开办法（试行）的通知》（苏财债〔2019〕8号）《财政部办公厅关于启用地方政府新增专项债券项目信息披露模板的通知》（财办库〔2019〕364号）等文件要求，对南通市</w:t>
      </w:r>
      <w:r>
        <w:rPr>
          <w:rFonts w:ascii="宋体" w:hAnsi="宋体" w:eastAsia="宋体" w:cs="宋体"/>
          <w:i w:val="0"/>
          <w:iCs w:val="0"/>
          <w:caps w:val="0"/>
          <w:color w:val="000000"/>
          <w:spacing w:val="0"/>
          <w:sz w:val="24"/>
          <w:szCs w:val="24"/>
        </w:rPr>
        <w:t>区</w:t>
      </w:r>
      <w:r>
        <w:rPr>
          <w:rFonts w:hint="eastAsia" w:ascii="宋体" w:eastAsia="宋体" w:cs="宋体"/>
          <w:color w:val="auto"/>
          <w:kern w:val="0"/>
          <w:sz w:val="24"/>
          <w:szCs w:val="24"/>
          <w:highlight w:val="none"/>
        </w:rPr>
        <w:t>2026年度地方政府专项债券发行对应项目进行财务评估，出具财务评估报告，报告内容包括但不限于以下方面：</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1.评估报告编制基础。</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2.专项债券对应项目信息。</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（1）项目概况；</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（2）分年度投资计划；</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（3）项目资金来源。</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3.专项债券对应项目预期收益预测情况，需要说明收益预测依据。</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4.债券存续期间项目预期收益和融资平衡情况。</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（1）单个项目债券存续期间项目预期收益和融资平衡情况，需附上（财办库〔2019〕364号）规定启用的《地方政府新增专项债券项目信息披露模板》；</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（2）本批次同类型债券对应项目的整体预期收益和融资平衡情况；</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（3）财务评估基本假设。</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5.潜在风险评估。</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中选供应商出具财务评估报告，重点是专项债券对应项目预期收益和融资平衡情况评估，需要给出各批次项目于债券存续期的预期收益是否可以覆盖本批次发行债券存续期间的还本付息支出，本息覆盖保障倍数情况，是否可以实现项目收益与融资自求平衡的评估结论。</w:t>
      </w:r>
    </w:p>
    <w:p>
      <w:pPr>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三、相关要求</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按照相关规定的内容保质保量完成第三方评估任务并出具财务评估报告，评估过程和结果应充分体现应有的专业技能，结果须公正、客观。中选单位出具的财务评估报告须符合相关规定。</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遵守职业道德,对采购人提供的资料和评估结果,严守秘密.未经采购人同意,中选单位不得自行就被评估项目的事宜直接与被评估单位进行沟通，不得擅自向被评估单位及其他任何第三方透露评估情况。法律、法规另有规定的除外。</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 xml:space="preserve"> 中选单位出具的财务评估报告须符合相关规定。</w:t>
      </w:r>
    </w:p>
    <w:p>
      <w:pPr>
        <w:adjustRightInd w:val="0"/>
        <w:spacing w:line="360" w:lineRule="auto"/>
        <w:ind w:firstLine="482" w:firstLineChars="200"/>
        <w:rPr>
          <w:rFonts w:hint="eastAsia" w:ascii="宋体" w:hAnsi="宋体" w:eastAsia="宋体" w:cs="宋体"/>
          <w:b/>
          <w:bCs/>
          <w:color w:val="auto"/>
          <w:sz w:val="24"/>
          <w:szCs w:val="24"/>
          <w:highlight w:val="none"/>
        </w:rPr>
      </w:pPr>
      <w:bookmarkStart w:id="0" w:name="OLE_LINK1"/>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sz w:val="24"/>
          <w:szCs w:val="24"/>
          <w:highlight w:val="none"/>
        </w:rPr>
        <w:t>、合同履行期限</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根据2026年江苏省财政厅分批次下达的南通市区新增地方政府专项债券额度以及对应项目，分批次开展评估工作，每个批次评估工作应在江苏省财政厅印发的债券发行通知要求的完成时限内完成并出具评估报告（根据以往批次发行经验，每批次完成时限在4至7天左右，具体以省财政厅要求为准）。</w:t>
      </w:r>
    </w:p>
    <w:p>
      <w:pPr>
        <w:adjustRightIn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kern w:val="0"/>
          <w:sz w:val="24"/>
          <w:szCs w:val="24"/>
          <w:highlight w:val="none"/>
        </w:rPr>
        <w:t>付款方式</w:t>
      </w:r>
    </w:p>
    <w:p>
      <w:pPr>
        <w:pStyle w:val="8"/>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合同履约结束后，根据采购人考核验收情况支付对应金额；付款前供应商须出具同等金额的正规发票。</w:t>
      </w:r>
    </w:p>
    <w:p>
      <w:pPr>
        <w:adjustRightIn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六、考核办法</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1．在服务期间，可根据项目特点、项目进度对供应商服务实施情况进行分期考核，分期考核结果为项目最终验收的重要依据，供应商应做好相应配合工作。</w:t>
      </w:r>
    </w:p>
    <w:p>
      <w:pPr>
        <w:pStyle w:val="8"/>
        <w:snapToGrid w:val="0"/>
        <w:spacing w:line="360" w:lineRule="auto"/>
        <w:ind w:firstLine="480" w:firstLineChars="200"/>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2．分期考核内容：包括履约情况、财务评估服务质量、管理建议、职业道德、协调机制五个方面。</w:t>
      </w:r>
    </w:p>
    <w:bookmarkEnd w:id="0"/>
    <w:p>
      <w:pPr>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分期考核评分表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8"/>
        <w:gridCol w:w="1637"/>
        <w:gridCol w:w="3576"/>
        <w:gridCol w:w="83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被考核人名称：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w:t>
            </w: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分项</w:t>
            </w:r>
          </w:p>
        </w:tc>
        <w:tc>
          <w:tcPr>
            <w:tcW w:w="37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细目</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履约情况（</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6）</w:t>
            </w:r>
          </w:p>
        </w:tc>
        <w:tc>
          <w:tcPr>
            <w:tcW w:w="1702" w:type="dxa"/>
            <w:tcBorders>
              <w:top w:val="single" w:color="auto" w:sz="4" w:space="0"/>
              <w:left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财务评估人员配备（不包括项目负责人）</w:t>
            </w:r>
          </w:p>
        </w:tc>
        <w:tc>
          <w:tcPr>
            <w:tcW w:w="3775" w:type="dxa"/>
            <w:tcBorders>
              <w:top w:val="single" w:color="auto" w:sz="4" w:space="0"/>
              <w:left w:val="single" w:color="auto" w:sz="4" w:space="0"/>
              <w:right w:val="single" w:color="auto" w:sz="4" w:space="0"/>
            </w:tcBorders>
            <w:vAlign w:val="center"/>
          </w:tcPr>
          <w:p>
            <w:pP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财务评估人员按照合同要求配备到位，少1人扣</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分，扣完为止。</w:t>
            </w:r>
          </w:p>
        </w:tc>
        <w:tc>
          <w:tcPr>
            <w:tcW w:w="856"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委托合同执行</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按采购合同条款执行，未经甲方同意的分包行为等情况，违反一项条款扣2分，扣完为止。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按委托单位要求报送资料</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按采购合同条款执行，如发生未在要求交付时间内交付财务评估报告的，按延迟日数每日扣减1分，扣完为止。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财务评估质量（</w:t>
            </w:r>
            <w:r>
              <w:rPr>
                <w:rFonts w:hint="eastAsia" w:ascii="宋体" w:hAnsi="宋体" w:eastAsia="宋体" w:cs="宋体"/>
                <w:bCs/>
                <w:color w:val="auto"/>
                <w:sz w:val="24"/>
                <w:szCs w:val="24"/>
                <w:highlight w:val="none"/>
                <w:lang w:val="en-US" w:eastAsia="zh-CN"/>
              </w:rPr>
              <w:t>50</w:t>
            </w:r>
            <w:r>
              <w:rPr>
                <w:rFonts w:hint="eastAsia" w:ascii="宋体" w:hAnsi="宋体" w:eastAsia="宋体" w:cs="宋体"/>
                <w:bCs/>
                <w:color w:val="auto"/>
                <w:sz w:val="24"/>
                <w:szCs w:val="24"/>
                <w:highlight w:val="none"/>
              </w:rPr>
              <w:t>）</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财务评估程序</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未按照财务评估规范或投标人提供的财务评估方案实施的，发现一项扣1分，扣完为止。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财务评估工作底稿</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财务评估底稿内容完整、记录清晰、结论明确，证据充分，同时具备纸质与电子底稿；每份底稿丢失、记录不完整的每发现一项扣2分，扣完为止。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财务评估报告份数</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未按财务评估服务需求出具财务评估报告的，每有一份扣</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分，超过两份该项不得分。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财务评估档案</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财务评估档案完整、便于查找的不扣分，财务评估档案缺失的该项不得分。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无重大偏差</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财务评估结果无重大错误、偏差不扣分，每项指标偏差率超过10%扣1分，扣完为止。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管理建议（4）</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提出管理建议</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项目实施过程中能根据提出符合企业改革发展实际、有针对性、可操作性和指导性的建议。</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职业道德（10）</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无弄虚作假、串通舞弊等情况</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无弄虚作假、串通舞弊等情况不扣分，发现一起该项不得分。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财务评估工作客观、公正、坚持原则</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财务评估工作流程及财务评估结果存在不客观、不公正情况该项不得分。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jc w:val="center"/>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数据安全及保密工作</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做好数据安全管理工作，保守被财务评估单位商业秘密，发现泄密情况该项不得分。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协调机制（10）</w:t>
            </w: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与委托单位</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做好与相关单位财务评估工作协调沟通机制，财务评估过程中因财务评估单位原因与委托单位发生纠纷或口角，情节较轻的扣2分，情节严重的该项不得分。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ind w:firstLine="480" w:firstLineChars="200"/>
              <w:rPr>
                <w:rFonts w:hint="eastAsia" w:ascii="宋体" w:hAnsi="宋体" w:eastAsia="宋体"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与被财务评估单位</w:t>
            </w:r>
          </w:p>
        </w:tc>
        <w:tc>
          <w:tcPr>
            <w:tcW w:w="37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做好与相关单位财务评估工作协调沟通机制，充分交换意见，财务评估过程中因财务评估单位原因与被财务评估单位发生纠纷或口角，情节较轻的扣2分，情节严重的该项不得分。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考核评分</w:t>
            </w:r>
          </w:p>
        </w:tc>
        <w:tc>
          <w:tcPr>
            <w:tcW w:w="7158" w:type="dxa"/>
            <w:gridSpan w:val="4"/>
            <w:tcBorders>
              <w:top w:val="single" w:color="auto" w:sz="4" w:space="0"/>
              <w:left w:val="single" w:color="auto" w:sz="4" w:space="0"/>
              <w:bottom w:val="single" w:color="auto" w:sz="4" w:space="0"/>
              <w:right w:val="single" w:color="auto" w:sz="4" w:space="0"/>
            </w:tcBorders>
            <w:vAlign w:val="center"/>
          </w:tcPr>
          <w:p>
            <w:pPr>
              <w:ind w:firstLine="482" w:firstLineChars="200"/>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备注：在财务评估过程中有行贿受贿、徇私枉法，给甲方或被财务评估单位造成损失的，发现一次，整个单位考核为0分。</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3．考核评分：由采购人或采购人委托的第三方专业机构对被考核对象进行独立考核得出考核评分。如被考核对象因行贿受贿、徇私枉法等给国家或被审计单位造成损失的，其考核评分为0分。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分期考核结果应用：对考核得分≥80分的被考核对象，全额支付财务评估服务费；对80分＞考核得分≥60分的被考核对象，扣除20%财务评估服务费；对60分＞考核得分≥0分的被考核对象，扣除30%财务评估服务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5．项目完成、财务评估报告出具后，经采购人确认符合相关规定后，供应商可申请履约验收。采购人原则上应在供应商提出验收申请后10个工作日内组织验收。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成立验收小组，按照采购合同的约定对供应商的履约情况进行验收。验收结束后，验收小组出具验收书，列明各项标准的验收情况及项目总体评价，由验收双方共同签署。验收结果与采购合同约定的资金支付条件挂钩。</w:t>
      </w:r>
    </w:p>
    <w:p>
      <w:pPr>
        <w:snapToGrid w:val="0"/>
        <w:spacing w:line="480" w:lineRule="exact"/>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7．验收合格的项目，采购人根据采购合同的约定及时向供应商方支付合同款项。验收不合格的项目，采购人依法及时处理。采购合同的履行、违约责任和解决争议的方式等适用《民法典》。供应商在履约过程中有法律法规规定的违法违规情形的，采购人将依法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5336B"/>
    <w:rsid w:val="009476F7"/>
    <w:rsid w:val="01705C99"/>
    <w:rsid w:val="040826B4"/>
    <w:rsid w:val="04723F17"/>
    <w:rsid w:val="098E7907"/>
    <w:rsid w:val="0A9236AF"/>
    <w:rsid w:val="0B1655D2"/>
    <w:rsid w:val="0C094B75"/>
    <w:rsid w:val="0FC26D88"/>
    <w:rsid w:val="100828AD"/>
    <w:rsid w:val="147E133E"/>
    <w:rsid w:val="167421DE"/>
    <w:rsid w:val="17033DA4"/>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D0B1FFA"/>
    <w:rsid w:val="4E3710B4"/>
    <w:rsid w:val="51937B70"/>
    <w:rsid w:val="51956720"/>
    <w:rsid w:val="522C70F0"/>
    <w:rsid w:val="5AB24ABD"/>
    <w:rsid w:val="64D5336B"/>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rPr>
  </w:style>
  <w:style w:type="paragraph" w:styleId="4">
    <w:name w:val="envelope return"/>
    <w:basedOn w:val="1"/>
    <w:unhideWhenUsed/>
    <w:qFormat/>
    <w:uiPriority w:val="99"/>
    <w:pPr>
      <w:snapToGrid w:val="0"/>
    </w:pPr>
    <w:rPr>
      <w:rFonts w:ascii="Arial" w:hAnsi="Arial"/>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paragraph" w:customStyle="1" w:styleId="8">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2026-01-22T07:36:00Z</dcterms:created>
  <dc:creator>L</dc:creator>
  <cp:lastModifiedBy>吴新兴</cp:lastModifiedBy>
  <dcterms:modified xsi:type="dcterms:W3CDTF">2026-01-22T11:00:29Z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B5B27CA3440945FD9E109104D0BDD72D</vt:lpwstr>
  </property>
</Properties>
</file>