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《电子凭证会计数据标准——增值税电子发票（试行版）》（含增值税电子普通发票和增值税电子专用发票）指南</w:t>
      </w:r>
    </w:p>
    <w:p>
      <w:pPr>
        <w:pStyle w:val="13"/>
        <w:wordWrap/>
        <w:spacing w:after="0" w:line="560" w:lineRule="exact"/>
      </w:pPr>
      <w:r>
        <w:rPr>
          <w:rFonts w:hint="eastAsia"/>
        </w:rPr>
        <w:t>为加快增值税电子发票应用和推广实施工作，助力国家数字经济发展和会计信息化建设，提升财政监管和税收征管效能，财政部遵循《可扩展商业报告语言（XBRL）技术规范》（GB/T 25500-2010）系列国家标准，研究起草了《电子凭证会计数据标准——增值税电子发票（试行版）》（含增值税电子普通发票和增值税电子专用发票）（以下简称《增值税电子发票</w:t>
      </w:r>
      <w:r>
        <w:rPr>
          <w:rFonts w:hint="eastAsia"/>
          <w:lang w:eastAsia="zh-CN"/>
        </w:rPr>
        <w:t>标准</w:t>
      </w:r>
      <w:r>
        <w:rPr>
          <w:rFonts w:hint="eastAsia"/>
        </w:rPr>
        <w:t>》）。《增值税电子发票</w:t>
      </w:r>
      <w:r>
        <w:rPr>
          <w:rFonts w:hint="eastAsia"/>
          <w:lang w:eastAsia="zh-CN"/>
        </w:rPr>
        <w:t>标准</w:t>
      </w:r>
      <w:r>
        <w:rPr>
          <w:rFonts w:hint="eastAsia"/>
        </w:rPr>
        <w:t>》涵盖了增值税电子普通发票和增值税电子专用发票</w:t>
      </w:r>
      <w:r>
        <w:rPr>
          <w:rFonts w:hint="eastAsia"/>
          <w:lang w:eastAsia="zh-CN"/>
        </w:rPr>
        <w:t>两</w:t>
      </w:r>
      <w:r>
        <w:rPr>
          <w:rFonts w:hint="eastAsia"/>
        </w:rPr>
        <w:t>类发票样式，以现行增值税电子发票为基础，反映了增值税电子发票承载的全部会计信息，以便企业在信息化条件下对相关业务进行会计处理并完成归档工作。同时，《增值税电子发票</w:t>
      </w:r>
      <w:r>
        <w:rPr>
          <w:rFonts w:hint="eastAsia"/>
          <w:lang w:eastAsia="zh-CN"/>
        </w:rPr>
        <w:t>标准</w:t>
      </w:r>
      <w:r>
        <w:rPr>
          <w:rFonts w:hint="eastAsia"/>
        </w:rPr>
        <w:t>》对发票开具、报销、入账、归档过程中产生的相关会计信息和发票状态信息进行了标准规范，能够防止电子发票重复入账。为方便阅读理解，我们起草了《电子凭证会计数据标准——增值税电子发票（试行版）》（含增值税电子普通发票和增值税电子专用发票）元素清单和本指南。</w:t>
      </w:r>
    </w:p>
    <w:p>
      <w:pPr>
        <w:pStyle w:val="13"/>
        <w:wordWrap/>
        <w:spacing w:after="0" w:line="560" w:lineRule="exact"/>
      </w:pPr>
      <w:r>
        <w:rPr>
          <w:rFonts w:hint="eastAsia"/>
        </w:rPr>
        <w:t>本指南作为《增值税电子发票</w:t>
      </w:r>
      <w:r>
        <w:rPr>
          <w:rFonts w:hint="eastAsia"/>
          <w:lang w:eastAsia="zh-CN"/>
        </w:rPr>
        <w:t>标准</w:t>
      </w:r>
      <w:r>
        <w:rPr>
          <w:rFonts w:hint="eastAsia"/>
        </w:rPr>
        <w:t>》使用和实例文档解析的说明文件，应与元素清单一并阅读，旨在帮助软件开发商和电子发票的接收单位了解《增值税电子发票</w:t>
      </w:r>
      <w:r>
        <w:rPr>
          <w:rFonts w:hint="eastAsia"/>
          <w:lang w:eastAsia="zh-CN"/>
        </w:rPr>
        <w:t>标准</w:t>
      </w:r>
      <w:r>
        <w:rPr>
          <w:rFonts w:hint="eastAsia"/>
        </w:rPr>
        <w:t>》的架构、内容以及实例文档的要素和解析方式。</w:t>
      </w:r>
    </w:p>
    <w:p>
      <w:pPr>
        <w:pStyle w:val="10"/>
        <w:numPr>
          <w:ilvl w:val="0"/>
          <w:numId w:val="1"/>
        </w:numPr>
        <w:wordWrap/>
        <w:spacing w:line="560" w:lineRule="exact"/>
        <w:ind w:firstLineChars="0"/>
        <w:outlineLvl w:val="0"/>
      </w:pPr>
      <w:r>
        <w:rPr>
          <w:rFonts w:hint="eastAsia"/>
        </w:rPr>
        <w:t>概述</w:t>
      </w:r>
    </w:p>
    <w:p>
      <w:pPr>
        <w:pStyle w:val="12"/>
        <w:numPr>
          <w:ilvl w:val="0"/>
          <w:numId w:val="2"/>
        </w:numPr>
        <w:wordWrap/>
        <w:spacing w:line="560" w:lineRule="exact"/>
        <w:ind w:firstLine="560"/>
        <w:outlineLvl w:val="1"/>
        <w:rPr>
          <w:rFonts w:ascii="Times New Roman" w:hAnsi="Times New Roman"/>
        </w:rPr>
      </w:pPr>
      <w:r>
        <w:rPr>
          <w:rFonts w:hint="eastAsia" w:ascii="Times New Roman" w:hAnsi="Times New Roman"/>
        </w:rPr>
        <w:t>增值税电子发票介绍</w:t>
      </w:r>
    </w:p>
    <w:p>
      <w:pPr>
        <w:pStyle w:val="13"/>
        <w:wordWrap/>
        <w:spacing w:after="0" w:line="560" w:lineRule="exact"/>
      </w:pPr>
      <w:r>
        <w:rPr>
          <w:rFonts w:hint="eastAsia"/>
        </w:rPr>
        <w:t>电子发票是经营活动中开具或收取的电子收付款凭证。电子发票作为发票的电子影像和电子记录，以数据电文作为法律凭证，突破了传统纸质发票的概念。采取电子签章实现发票签名、电子盖章，实现电子发票唯一性、不可抵赖性、防篡改。通过数字媒体形式传送与保存发票内容，可通过网络、移动通信等方式传送给接收方。</w:t>
      </w:r>
    </w:p>
    <w:p>
      <w:pPr>
        <w:pStyle w:val="13"/>
        <w:wordWrap/>
        <w:spacing w:after="0" w:line="560" w:lineRule="exact"/>
      </w:pPr>
      <w:r>
        <w:rPr>
          <w:rFonts w:hint="eastAsia"/>
        </w:rPr>
        <w:t>目前电子发票</w:t>
      </w:r>
      <w:r>
        <w:rPr>
          <w:rFonts w:hint="eastAsia"/>
          <w:lang w:eastAsia="zh-CN"/>
        </w:rPr>
        <w:t>主要</w:t>
      </w:r>
      <w:r>
        <w:rPr>
          <w:rFonts w:hint="eastAsia"/>
        </w:rPr>
        <w:t>包含：增值税电子普通发票</w:t>
      </w:r>
      <w:r>
        <w:rPr>
          <w:rFonts w:hint="eastAsia"/>
          <w:lang w:eastAsia="zh-CN"/>
        </w:rPr>
        <w:t>和</w:t>
      </w:r>
      <w:r>
        <w:rPr>
          <w:rFonts w:hint="eastAsia"/>
        </w:rPr>
        <w:t>增值税电子专用发票</w:t>
      </w:r>
      <w:r>
        <w:rPr>
          <w:rFonts w:hint="eastAsia"/>
          <w:lang w:eastAsia="zh-CN"/>
        </w:rPr>
        <w:t>等</w:t>
      </w:r>
      <w:r>
        <w:rPr>
          <w:rFonts w:hint="eastAsia"/>
        </w:rPr>
        <w:t>。</w:t>
      </w:r>
    </w:p>
    <w:p>
      <w:pPr>
        <w:pStyle w:val="12"/>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企业、单位在实际发生交易后，增值税电子发票开具方将电子发票结构化数据通过X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工具包生成XBRL格式的实例文档，形成电子凭证增值税发票。接收方获取电子凭证文件后，通过X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发票底层的结构化数据并同步标记发票状态。企业、单位在使用电子凭证报销、入账时，相关财务系统将即时回传增值税发票状态信息、相关会计信息以及企业所得税管理信息，生成包含有发票状态信息、会计主体信息、基础会计信息和企业所得税管理信息的XBRL格式的实例文档数据进行归档备查。</w:t>
      </w:r>
    </w:p>
    <w:p>
      <w:pPr>
        <w:pStyle w:val="10"/>
        <w:numPr>
          <w:ilvl w:val="0"/>
          <w:numId w:val="1"/>
        </w:numPr>
        <w:wordWrap/>
        <w:spacing w:line="560" w:lineRule="exact"/>
        <w:ind w:firstLineChars="0"/>
        <w:outlineLvl w:val="0"/>
      </w:pPr>
      <w:r>
        <w:rPr>
          <w:rFonts w:hint="eastAsia"/>
        </w:rPr>
        <w:t>增值税电子发票开具方</w:t>
      </w:r>
    </w:p>
    <w:p>
      <w:pPr>
        <w:pStyle w:val="12"/>
        <w:numPr>
          <w:ilvl w:val="0"/>
          <w:numId w:val="3"/>
        </w:numPr>
        <w:wordWrap/>
        <w:spacing w:line="560" w:lineRule="exact"/>
        <w:ind w:firstLine="560" w:firstLineChars="0"/>
        <w:outlineLvl w:val="1"/>
      </w:pPr>
      <w:r>
        <w:rPr>
          <w:rFonts w:hint="eastAsia"/>
        </w:rPr>
        <w:t>增值税电子发票</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以增值税电子专用发票开具方示例：</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xmlns="http://www.xbrl.org/2003/instance" xmlns:inv="http://xbrl.mof.gov.cn/taxonomy/2023-05-15/inv"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xlink:href="inv_issuer_entry_point_2023-05-15.xsd"/&gt;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scheme="http://xbrl.mof.gov.cn"&gt;919600007000XXXXXX&lt;/xbrli:identifier&gt;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&lt;xbrli:instant&gt;2021-01-21&lt;/xbrli:instant&gt;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&lt;inv:TypeOfInvoice contextRef="c1"&gt;增值税电子专用发票&lt;/inv:TypeOfInvoice&gt;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&lt;inv:UniqueCodeOfInvoice contextRef="c1"&gt;06200210011300341001&lt;/inv:UniqueCodeOfInvoice&gt;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&lt;inv:LocationOfInvoice contextRef="c1"&gt;北京&lt;/inv:LocationOfInvoice&gt;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&lt;inv:CodeOfInvoice contextRef="c1"&gt;062002100113&lt;/inv:CodeOfInvoice&gt;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&lt;inv:NumberOfInvoice contextRef="c1"&gt;00341001&lt;/inv:NumberOfInvoice&gt;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&lt;inv:DateOfIssue contextRef="c1"&gt;2021-01-21&lt;/inv:DateOfIssue&gt;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&lt;inv:IdentifyingCode contextRef="c1"&gt;177458479993998670745&lt;/inv:IdentifyingCode&gt;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&lt;inv:NumberOfInvoiceMachine contextRef="c1"&gt;917000646623&lt;/inv:NumberOfInvoiceMachine&gt;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&lt;inv:NameOfPurchaser contextRef="c1"&gt;ABC公司&lt;/inv:NameOfPurchaser&gt;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&lt;inv:AddressPhoneNumberOfPurchaser contextRef="c1"&gt;北京市朝阳区xxxxx路X号&lt;/inv:AddressPhoneNumberOfPurchaser&gt;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&lt;inv:DepositBankAndAccountNumberOfPurchaser contextRef="c1"&gt;工商银行北京xxxx支行&lt;/inv:DepositBankAndAccountNumberOfPurchaser&gt;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&lt;inv:SecurityCode contextRef="c1"&gt;5/82&amp;gt;775/61-31--06&amp;lt;7816*/*71*5&amp;gt;7&amp;gt;-+29+6*9/&amp;lt;06147&amp;gt;851479226492*&amp;lt;689301631-*06&amp;lt;7811**0&amp;gt;2&amp;lt;5&amp;gt;73-939&amp;lt;2/9/&amp;lt;83-2&amp;lt;/*&lt;/inv:SecurityCode&gt;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&lt;inv:TotalAmountExcludingTax decimals="2" contextRef="c1" unitRef="u1"&gt;97029.70&lt;/inv:TotalAmountExcludingTax&gt;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&lt;inv:TotalTaxAmount decimals="2" contextRef="c1" unitRef="u1"&gt;970.30&lt;/inv:TotalTaxAmount&gt;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&lt;inv:TaxIncludedAmountInWords contextRef="c1"&gt;玖万捌仟元整&lt;/inv:TaxIncludedAmountInWords&gt;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&lt;inv:TaxIncludedAmountInFigures decimals="2" contextRef="c1" unitRef="u1"&gt;98000.00&lt;/inv:TaxIncludedAmountInFigures&gt;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&lt;inv:NameOfSeller contextRef="c1"&gt;甘肃****有限公司&lt;/inv:NameOfSeller&gt;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&lt;inv:AddressPhoneNumberOfSeller contextRef="c1"&gt;甘肃省XXXXXX&lt;/inv:AddressPhoneNumberOfSeller&gt;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&lt;inv:DepositBankAndAccountNumberOfSeller contextRef="c1"&gt;华夏银行北京xxxx支行&lt;/inv:DepositBankAndAccountNumberOfSeller&gt;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&lt;inv:Payee contextRef="c1"&gt;管理员&lt;/inv:Payee&gt;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&lt;inv:Reviewer contextRef="c1"&gt;管理员&lt;/inv:Reviewer&gt;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&lt;inv:Issuer contextRef="c1"&gt;管理员&lt;/inv:Issuer&gt;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&lt;inv:InformationOfTaxableGoodsOrServicesDetailItemsTuple&gt;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&lt;inv:NatureOfInvoiceLine contextRef="c1"&gt;普通行&lt;/inv:NatureOfInvoiceLine&gt;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&lt;inv:NameOfTaxableGoodsOrServices contextRef="c1"&gt;*建筑服务*工程款&lt;/inv:NameOfTaxableGoodsOrServices&gt;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&lt;inv:UnitPriceOfGoodsOrServices decimals="1" contextRef="c1" unitRef="u1"&gt;97029.7&lt;/inv:UnitPriceOfGoodsOrServices&gt;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&lt;inv:AmountExcludingTax decimals="2" contextRef="c1" unitRef="u1"&gt;97029.70&lt;/inv:AmountExcludingTax&gt;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&lt;inv:TaxRate contextRef="c1"&gt;1%&lt;/inv:TaxRate&gt;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&lt;inv:TaxAmount decimals="2" contextRef="c1" unitRef="u1"&gt;970.30&lt;/inv:TaxAmount&gt;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&lt;/inv:InformationOfTaxableGoodsOrServicesDetailItemsTuple&gt;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&lt;inv:TaxpayerIdentificationNumberUnifiedSocialCreditCodeOfPurchaser contextRef="c1"&gt;91110000073XXXXXX&lt;/inv:TaxpayerIdentificationNumberUnifiedSocialCreditCodeOfPurchaser&gt;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&lt;inv:TaxpayerIdentificationNumberUnifiedSocialCreditCodeOfSeller contextRef="c1"&gt;919600007000XXXXXX&lt;/inv:TaxpayerIdentificationNumberUnifiedSocialCreditCodeOfSeller&gt;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&lt;inv:BeginningOfIncomePeriodUnderAccrualBasis contextRef="c1"&gt;2021-01&lt;/inv:BeginningOfIncomePeriodUnderAccrualBasis&gt;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&lt;inv:EndOfIncomePeriodUnderAccrualBasis contextRef="c1"&gt;2021-01&lt;/inv:EndOfIncomePeriodUnderAccrualBasis&gt;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2"/>
        <w:numPr>
          <w:ilvl w:val="0"/>
          <w:numId w:val="3"/>
        </w:numPr>
        <w:wordWrap/>
        <w:spacing w:line="560" w:lineRule="exact"/>
        <w:ind w:firstLine="560" w:firstLineChars="0"/>
        <w:outlineLvl w:val="1"/>
      </w:pPr>
      <w:r>
        <w:rPr>
          <w:rFonts w:hint="eastAsia"/>
        </w:rPr>
        <w:t>《增值税电子发票</w:t>
      </w:r>
      <w:r>
        <w:rPr>
          <w:rFonts w:hint="eastAsia"/>
          <w:lang w:eastAsia="zh-CN"/>
        </w:rPr>
        <w:t>标准</w:t>
      </w:r>
      <w:r>
        <w:rPr>
          <w:rFonts w:hint="eastAsia"/>
        </w:rPr>
        <w:t>》开具方内容架构</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lang w:eastAsia="zh-CN"/>
        </w:rPr>
        <w:t>本标准</w:t>
      </w:r>
      <w:r>
        <w:rPr>
          <w:rFonts w:hint="eastAsia" w:ascii="Times New Roman" w:hAnsi="Times New Roman" w:eastAsia="仿宋_GB2312"/>
          <w:sz w:val="28"/>
          <w:szCs w:val="28"/>
        </w:rPr>
        <w:t>将增值税电子发票的票面信息以及通过增值税电子发票进行开具、报销、入账、归档过程中需要的信息进行了XBRL标记，并将信息根据业务流程划分为开具方和接收方两类，表1列示了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标记的开具方字段。</w:t>
      </w:r>
    </w:p>
    <w:p>
      <w:pPr>
        <w:pStyle w:val="13"/>
        <w:wordWrap/>
        <w:spacing w:after="0" w:line="560" w:lineRule="exact"/>
        <w:ind w:left="1280" w:firstLine="0" w:firstLineChars="0"/>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：《增值税电子发票</w:t>
      </w:r>
      <w:r>
        <w:rPr>
          <w:rFonts w:hint="eastAsia"/>
          <w:b/>
          <w:bCs/>
          <w:sz w:val="24"/>
          <w:szCs w:val="24"/>
          <w:lang w:eastAsia="zh-CN"/>
        </w:rPr>
        <w:t>标准</w:t>
      </w:r>
      <w:r>
        <w:rPr>
          <w:rFonts w:hint="eastAsia"/>
          <w:b/>
          <w:bCs/>
          <w:sz w:val="24"/>
          <w:szCs w:val="24"/>
        </w:rPr>
        <w:t>》（开具方）标记内容</w:t>
      </w:r>
    </w:p>
    <w:tbl>
      <w:tblPr>
        <w:tblStyle w:val="7"/>
        <w:tblW w:w="97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52"/>
        <w:gridCol w:w="2376"/>
        <w:gridCol w:w="1276"/>
        <w:gridCol w:w="30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tblHeader/>
          <w:jc w:val="center"/>
        </w:trPr>
        <w:tc>
          <w:tcPr>
            <w:tcW w:w="959" w:type="dxa"/>
            <w:noWrap/>
            <w:vAlign w:val="center"/>
          </w:tcPr>
          <w:p>
            <w:pPr>
              <w:pStyle w:val="13"/>
              <w:spacing w:after="0"/>
              <w:ind w:firstLine="0" w:firstLineChars="0"/>
              <w:jc w:val="center"/>
              <w:rPr>
                <w:b/>
                <w:bCs/>
                <w:sz w:val="24"/>
                <w:szCs w:val="28"/>
              </w:rPr>
            </w:pPr>
            <w:r>
              <w:rPr>
                <w:rFonts w:hint="eastAsia"/>
                <w:b/>
                <w:bCs/>
                <w:sz w:val="24"/>
                <w:szCs w:val="28"/>
              </w:rPr>
              <w:t>序号</w:t>
            </w:r>
          </w:p>
        </w:tc>
        <w:tc>
          <w:tcPr>
            <w:tcW w:w="2052" w:type="dxa"/>
            <w:noWrap/>
            <w:vAlign w:val="center"/>
          </w:tcPr>
          <w:p>
            <w:pPr>
              <w:pStyle w:val="13"/>
              <w:spacing w:after="0"/>
              <w:ind w:firstLine="0" w:firstLineChars="0"/>
              <w:jc w:val="center"/>
              <w:rPr>
                <w:b/>
                <w:bCs/>
                <w:sz w:val="24"/>
                <w:szCs w:val="28"/>
              </w:rPr>
            </w:pPr>
            <w:r>
              <w:rPr>
                <w:rFonts w:hint="eastAsia"/>
                <w:b/>
                <w:bCs/>
                <w:sz w:val="24"/>
                <w:szCs w:val="28"/>
              </w:rPr>
              <w:t>分组名称</w:t>
            </w:r>
          </w:p>
        </w:tc>
        <w:tc>
          <w:tcPr>
            <w:tcW w:w="2376" w:type="dxa"/>
            <w:noWrap/>
            <w:vAlign w:val="center"/>
          </w:tcPr>
          <w:p>
            <w:pPr>
              <w:pStyle w:val="13"/>
              <w:spacing w:after="0"/>
              <w:ind w:firstLine="0" w:firstLineChars="0"/>
              <w:jc w:val="center"/>
              <w:rPr>
                <w:b/>
                <w:bCs/>
                <w:sz w:val="24"/>
                <w:szCs w:val="28"/>
              </w:rPr>
            </w:pPr>
            <w:r>
              <w:rPr>
                <w:rFonts w:hint="eastAsia"/>
                <w:b/>
                <w:bCs/>
                <w:sz w:val="24"/>
                <w:szCs w:val="28"/>
              </w:rPr>
              <w:t>字段名称</w:t>
            </w:r>
          </w:p>
        </w:tc>
        <w:tc>
          <w:tcPr>
            <w:tcW w:w="1276" w:type="dxa"/>
            <w:noWrap/>
            <w:vAlign w:val="center"/>
          </w:tcPr>
          <w:p>
            <w:pPr>
              <w:pStyle w:val="13"/>
              <w:spacing w:after="0"/>
              <w:ind w:firstLine="0" w:firstLineChars="0"/>
              <w:jc w:val="center"/>
              <w:rPr>
                <w:b/>
                <w:bCs/>
                <w:sz w:val="24"/>
                <w:szCs w:val="28"/>
              </w:rPr>
            </w:pPr>
            <w:r>
              <w:rPr>
                <w:rFonts w:hint="eastAsia"/>
                <w:b/>
                <w:bCs/>
                <w:sz w:val="24"/>
                <w:szCs w:val="28"/>
              </w:rPr>
              <w:t>数值类型</w:t>
            </w:r>
          </w:p>
        </w:tc>
        <w:tc>
          <w:tcPr>
            <w:tcW w:w="3084" w:type="dxa"/>
            <w:noWrap/>
            <w:vAlign w:val="center"/>
          </w:tcPr>
          <w:p>
            <w:pPr>
              <w:pStyle w:val="13"/>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p>
        </w:tc>
        <w:tc>
          <w:tcPr>
            <w:tcW w:w="2052" w:type="dxa"/>
            <w:vMerge w:val="restart"/>
            <w:noWrap/>
            <w:vAlign w:val="center"/>
          </w:tcPr>
          <w:p>
            <w:pPr>
              <w:pStyle w:val="13"/>
              <w:wordWrap/>
              <w:spacing w:after="0" w:line="240" w:lineRule="auto"/>
              <w:ind w:firstLine="0" w:firstLineChars="0"/>
              <w:jc w:val="center"/>
              <w:rPr>
                <w:bCs/>
                <w:sz w:val="24"/>
                <w:szCs w:val="24"/>
              </w:rPr>
            </w:pPr>
            <w:r>
              <w:rPr>
                <w:rFonts w:hint="eastAsia"/>
                <w:bCs/>
                <w:sz w:val="24"/>
                <w:szCs w:val="24"/>
              </w:rPr>
              <w:t>发票抬头信息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发票类型</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填报“增值税电子专用发票”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发票唯一标识</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发票代码+发票号码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发票所属地区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反映发票开出地区及地方税务机构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4</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5</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发票号码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6</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开票日期</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日期型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7</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校验码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根据票面生成的一串由数字字母组成的号码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8</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机器编号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电子发票开票设备编号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9</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发票特殊类型</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标识发票的特殊类型，如农产品收购、稀土、通行费（可抵扣）、通行费（不可抵扣）、成品油、卷烟、机动车、建安、房地产销售等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10</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发票代开标识</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标识发票是否由税务机关或税务机关授权的其他单位代为开具的，如自开、税务机关代开、其他单位代开</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11</w:t>
            </w:r>
          </w:p>
        </w:tc>
        <w:tc>
          <w:tcPr>
            <w:tcW w:w="2052" w:type="dxa"/>
            <w:vMerge w:val="restart"/>
            <w:noWrap/>
            <w:vAlign w:val="center"/>
          </w:tcPr>
          <w:p>
            <w:pPr>
              <w:pStyle w:val="13"/>
              <w:wordWrap/>
              <w:spacing w:after="0" w:line="240" w:lineRule="auto"/>
              <w:ind w:firstLine="0" w:firstLineChars="0"/>
              <w:jc w:val="center"/>
              <w:rPr>
                <w:bCs/>
                <w:sz w:val="24"/>
                <w:szCs w:val="24"/>
              </w:rPr>
            </w:pPr>
            <w:r>
              <w:rPr>
                <w:rFonts w:hint="eastAsia"/>
                <w:bCs/>
                <w:sz w:val="24"/>
                <w:szCs w:val="24"/>
              </w:rPr>
              <w:t>购买方信息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购买方名称</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购买方纳税人识别号（统一社会信用代码）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3</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购买方地址、电话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4</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购买方开户行及账号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5</w:t>
            </w:r>
          </w:p>
        </w:tc>
        <w:tc>
          <w:tcPr>
            <w:tcW w:w="2052" w:type="dxa"/>
            <w:noWrap/>
            <w:vAlign w:val="center"/>
          </w:tcPr>
          <w:p>
            <w:pPr>
              <w:pStyle w:val="13"/>
              <w:wordWrap/>
              <w:spacing w:after="0" w:line="240" w:lineRule="auto"/>
              <w:ind w:firstLine="0" w:firstLineChars="0"/>
              <w:jc w:val="center"/>
              <w:rPr>
                <w:bCs/>
                <w:sz w:val="24"/>
                <w:szCs w:val="24"/>
              </w:rPr>
            </w:pPr>
            <w:r>
              <w:rPr>
                <w:rFonts w:hint="eastAsia"/>
                <w:bCs/>
                <w:sz w:val="24"/>
                <w:szCs w:val="24"/>
              </w:rPr>
              <w:t>密码区</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密码区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发票票面中的防伪密文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6</w:t>
            </w:r>
          </w:p>
        </w:tc>
        <w:tc>
          <w:tcPr>
            <w:tcW w:w="2052" w:type="dxa"/>
            <w:vMerge w:val="restart"/>
            <w:vAlign w:val="center"/>
          </w:tcPr>
          <w:p>
            <w:pPr>
              <w:pStyle w:val="13"/>
              <w:spacing w:after="0" w:line="240" w:lineRule="auto"/>
              <w:ind w:firstLine="0" w:firstLineChars="0"/>
              <w:jc w:val="center"/>
              <w:rPr>
                <w:bCs/>
                <w:sz w:val="24"/>
                <w:szCs w:val="24"/>
              </w:rPr>
            </w:pPr>
            <w:r>
              <w:rPr>
                <w:rFonts w:hint="eastAsia"/>
                <w:bCs/>
                <w:sz w:val="24"/>
                <w:szCs w:val="24"/>
              </w:rPr>
              <w:t>货物或应税劳务、服务信息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不含税金额合计</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7</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税额合计</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8</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价税合计（大写）</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19</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价税合计（小写）</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货物或应税劳务、服务信息，明细项目（*项目为增值税电子普通/专用发票的票面信息）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发票行性质</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区分普通发票行和折扣发票行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1</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货物或应税劳务、服务名称*</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规格型号*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3</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货物或劳务、服务单位*</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4</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货物或劳务、服务数量*</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小数型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5</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货物或劳务、服务单价*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26</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不含税金额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27</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税率</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根据实际税率填写，免税发票直接填写“免税”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28</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税额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29</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销售方信息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销售方名称</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30</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销售方纳税人识别号（统一社会信用代码）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31</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销售方地址、电话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eastAsia" w:eastAsia="仿宋_GB2312"/>
                <w:bCs/>
                <w:sz w:val="24"/>
                <w:szCs w:val="24"/>
                <w:lang w:eastAsia="zh-CN"/>
              </w:rPr>
            </w:pPr>
            <w:r>
              <w:rPr>
                <w:rFonts w:hint="eastAsia"/>
                <w:bCs/>
                <w:sz w:val="24"/>
                <w:szCs w:val="24"/>
              </w:rPr>
              <w:t>3</w:t>
            </w:r>
            <w:r>
              <w:rPr>
                <w:rFonts w:hint="eastAsia"/>
                <w:bCs/>
                <w:sz w:val="24"/>
                <w:szCs w:val="24"/>
                <w:lang w:val="en-US" w:eastAsia="zh-CN"/>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销售方开户行及账号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eastAsia" w:eastAsia="仿宋_GB2312"/>
                <w:bCs/>
                <w:sz w:val="24"/>
                <w:szCs w:val="24"/>
                <w:lang w:val="en-US" w:eastAsia="zh-CN"/>
              </w:rPr>
            </w:pPr>
            <w:r>
              <w:rPr>
                <w:bCs/>
                <w:sz w:val="24"/>
                <w:szCs w:val="24"/>
              </w:rPr>
              <w:t>3</w:t>
            </w:r>
            <w:r>
              <w:rPr>
                <w:rFonts w:hint="eastAsia"/>
                <w:bCs/>
                <w:sz w:val="24"/>
                <w:szCs w:val="24"/>
                <w:lang w:val="en-US" w:eastAsia="zh-CN"/>
              </w:rPr>
              <w:t>3</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其他信息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备注</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eastAsia" w:eastAsia="仿宋_GB2312"/>
                <w:bCs/>
                <w:sz w:val="24"/>
                <w:szCs w:val="24"/>
                <w:lang w:eastAsia="zh-CN"/>
              </w:rPr>
            </w:pPr>
            <w:r>
              <w:rPr>
                <w:bCs/>
                <w:sz w:val="24"/>
                <w:szCs w:val="24"/>
              </w:rPr>
              <w:t>3</w:t>
            </w:r>
            <w:r>
              <w:rPr>
                <w:rFonts w:hint="eastAsia"/>
                <w:bCs/>
                <w:sz w:val="24"/>
                <w:szCs w:val="24"/>
                <w:lang w:val="en-US" w:eastAsia="zh-CN"/>
              </w:rPr>
              <w:t>4</w:t>
            </w:r>
          </w:p>
        </w:tc>
        <w:tc>
          <w:tcPr>
            <w:tcW w:w="2052" w:type="dxa"/>
            <w:vMerge w:val="continue"/>
            <w:noWrap/>
            <w:vAlign w:val="center"/>
          </w:tcPr>
          <w:p>
            <w:pPr>
              <w:pStyle w:val="13"/>
              <w:wordWrap/>
              <w:spacing w:after="0" w:line="240" w:lineRule="auto"/>
              <w:ind w:firstLine="0" w:firstLineChars="0"/>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收款人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35</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复核</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36</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开票人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37</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企业所得税管理信息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权责发生制下收入所属期起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38</w:t>
            </w:r>
          </w:p>
        </w:tc>
        <w:tc>
          <w:tcPr>
            <w:tcW w:w="2052" w:type="dxa"/>
            <w:vMerge w:val="continue"/>
            <w:noWrap/>
            <w:vAlign w:val="center"/>
          </w:tcPr>
          <w:p>
            <w:pPr>
              <w:pStyle w:val="13"/>
              <w:wordWrap/>
              <w:spacing w:after="0" w:line="240" w:lineRule="auto"/>
              <w:ind w:firstLine="0" w:firstLineChars="0"/>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权责发生制下收入所属期止</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39</w:t>
            </w:r>
          </w:p>
        </w:tc>
        <w:tc>
          <w:tcPr>
            <w:tcW w:w="2052" w:type="dxa"/>
            <w:vMerge w:val="restart"/>
            <w:vAlign w:val="center"/>
          </w:tcPr>
          <w:p>
            <w:pPr>
              <w:pStyle w:val="13"/>
              <w:spacing w:after="0" w:line="240" w:lineRule="auto"/>
              <w:ind w:firstLine="0" w:firstLineChars="0"/>
              <w:jc w:val="center"/>
              <w:rPr>
                <w:bCs/>
                <w:sz w:val="24"/>
                <w:szCs w:val="24"/>
              </w:rPr>
            </w:pPr>
            <w:r>
              <w:rPr>
                <w:rFonts w:hint="eastAsia"/>
                <w:bCs/>
                <w:sz w:val="24"/>
                <w:szCs w:val="24"/>
              </w:rPr>
              <w:t>红字发票信息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原发票代码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40</w:t>
            </w:r>
          </w:p>
        </w:tc>
        <w:tc>
          <w:tcPr>
            <w:tcW w:w="2052" w:type="dxa"/>
            <w:vMerge w:val="continue"/>
          </w:tcPr>
          <w:p>
            <w:pPr>
              <w:pStyle w:val="13"/>
              <w:spacing w:after="0" w:line="240" w:lineRule="auto"/>
              <w:ind w:firstLine="48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原发票号码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rFonts w:hint="default" w:eastAsia="仿宋_GB2312"/>
                <w:bCs/>
                <w:sz w:val="24"/>
                <w:szCs w:val="24"/>
                <w:lang w:val="en-US" w:eastAsia="zh-CN"/>
              </w:rPr>
            </w:pPr>
            <w:r>
              <w:rPr>
                <w:rFonts w:hint="eastAsia"/>
                <w:bCs/>
                <w:sz w:val="24"/>
                <w:szCs w:val="24"/>
                <w:lang w:val="en-US" w:eastAsia="zh-CN"/>
              </w:rPr>
              <w:t>41</w:t>
            </w:r>
          </w:p>
        </w:tc>
        <w:tc>
          <w:tcPr>
            <w:tcW w:w="2052" w:type="dxa"/>
            <w:vMerge w:val="continue"/>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冲红原因</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bl>
    <w:p>
      <w:pPr>
        <w:pStyle w:val="12"/>
        <w:numPr>
          <w:ilvl w:val="0"/>
          <w:numId w:val="3"/>
        </w:numPr>
        <w:wordWrap/>
        <w:spacing w:line="560" w:lineRule="exact"/>
        <w:ind w:firstLine="560" w:firstLineChars="0"/>
        <w:outlineLvl w:val="1"/>
      </w:pPr>
      <w:r>
        <w:rPr>
          <w:rFonts w:hint="eastAsia"/>
        </w:rPr>
        <w:t>X</w:t>
      </w:r>
      <w:r>
        <w:t>BRL</w:t>
      </w:r>
      <w:r>
        <w:rPr>
          <w:rFonts w:hint="eastAsia"/>
        </w:rPr>
        <w:t>实例文档要素说明</w:t>
      </w:r>
    </w:p>
    <w:p>
      <w:pPr>
        <w:spacing w:after="0" w:line="360" w:lineRule="auto"/>
        <w:ind w:firstLine="560" w:firstLineChars="200"/>
        <w:rPr>
          <w:rFonts w:ascii="Times New Roman" w:hAnsi="Times New Roman" w:eastAsia="仿宋_GB2312"/>
          <w:sz w:val="28"/>
          <w:szCs w:val="28"/>
          <w:lang w:val="en-GB"/>
        </w:rPr>
      </w:pPr>
      <w:r>
        <w:rPr>
          <w:rFonts w:hint="eastAsia" w:ascii="Times New Roman" w:hAnsi="Times New Roman" w:eastAsia="仿宋_GB2312"/>
          <w:sz w:val="28"/>
          <w:szCs w:val="28"/>
        </w:rPr>
        <w:t>实例文档作为电子发票结构化数据的载体，不仅包含了数据本身及其与《增值税电子发票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》元素之间的对应关系，同时也包含了数据相关的属性信息（如数据所属时间、单位等），这些信息使得标记数据能够与业务场景紧密关联起来。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实例文档共包含五类内容，分别是根元素（xbrli:xbrl）、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引用（link:schemaRef）、事实值（fact）、上下文（context）和单位（unit），使用者可结合三个要素的具体信息来进一步理解实例文档。</w:t>
      </w:r>
    </w:p>
    <w:p>
      <w:pPr>
        <w:pStyle w:val="13"/>
        <w:numPr>
          <w:ilvl w:val="0"/>
          <w:numId w:val="4"/>
        </w:numPr>
        <w:wordWrap/>
        <w:spacing w:after="0" w:line="560" w:lineRule="exact"/>
        <w:ind w:firstLineChars="0"/>
        <w:rPr>
          <w:b/>
          <w:bCs/>
        </w:rPr>
      </w:pPr>
      <w:r>
        <w:rPr>
          <w:rFonts w:hint="eastAsia"/>
          <w:b/>
          <w:bCs/>
        </w:rPr>
        <w:t>根元素</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实例文档根元素的标签名是&lt;xbrli:xbrl&gt;，根元素标签的属性是实例文档所引用的所有命名空间信息，其中也包括《增值税电子发票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》前缀</w:t>
      </w:r>
      <w:r>
        <w:rPr>
          <w:rFonts w:hint="eastAsia" w:ascii="Times New Roman" w:hAnsi="Times New Roman" w:eastAsia="仿宋_GB2312"/>
          <w:sz w:val="28"/>
          <w:szCs w:val="28"/>
          <w:lang w:val="en-US" w:eastAsia="zh-CN"/>
        </w:rPr>
        <w:t>inv</w:t>
      </w:r>
      <w:r>
        <w:rPr>
          <w:rFonts w:hint="eastAsia" w:ascii="Times New Roman" w:hAnsi="Times New Roman" w:eastAsia="仿宋_GB2312"/>
          <w:sz w:val="28"/>
          <w:szCs w:val="28"/>
        </w:rPr>
        <w:t>，具体如下表</w:t>
      </w:r>
      <w:r>
        <w:rPr>
          <w:rFonts w:ascii="Times New Roman" w:hAnsi="Times New Roman" w:eastAsia="仿宋_GB2312"/>
          <w:sz w:val="28"/>
          <w:szCs w:val="28"/>
        </w:rPr>
        <w:t>2</w:t>
      </w:r>
      <w:r>
        <w:rPr>
          <w:rFonts w:hint="eastAsia" w:ascii="Times New Roman" w:hAnsi="Times New Roman" w:eastAsia="仿宋_GB2312"/>
          <w:sz w:val="28"/>
          <w:szCs w:val="28"/>
        </w:rPr>
        <w:t>所示：</w:t>
      </w:r>
    </w:p>
    <w:p>
      <w:pPr>
        <w:pStyle w:val="13"/>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：《增值税电子发票</w:t>
      </w:r>
      <w:r>
        <w:rPr>
          <w:rFonts w:hint="eastAsia"/>
          <w:b/>
          <w:bCs/>
          <w:sz w:val="24"/>
          <w:szCs w:val="24"/>
          <w:lang w:eastAsia="zh-CN"/>
        </w:rPr>
        <w:t>标准</w:t>
      </w:r>
      <w:r>
        <w:rPr>
          <w:rFonts w:hint="eastAsia"/>
          <w:b/>
          <w:bCs/>
          <w:sz w:val="24"/>
          <w:szCs w:val="24"/>
        </w:rPr>
        <w:t>》标记内容</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5"/>
        <w:gridCol w:w="34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7"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w:t>
            </w:r>
            <w:r>
              <w:rPr>
                <w:rFonts w:ascii="Times New Roman" w:hAnsi="Times New Roman" w:eastAsia="仿宋_GB2312"/>
                <w:b/>
                <w:color w:val="000000"/>
                <w:sz w:val="24"/>
                <w:szCs w:val="24"/>
              </w:rPr>
              <w:t>URL</w:t>
            </w:r>
          </w:p>
        </w:tc>
        <w:tc>
          <w:tcPr>
            <w:tcW w:w="3475"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i</w:t>
            </w:r>
            <w:r>
              <w:rPr>
                <w:rFonts w:ascii="Times New Roman" w:hAnsi="Times New Roman" w:eastAsia="仿宋_GB2312"/>
                <w:color w:val="000000"/>
                <w:sz w:val="24"/>
                <w:szCs w:val="24"/>
              </w:rPr>
              <w:t>nv</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http://xbrl.mof.gov.cn/taxonomy/2023-05-15/inv</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增值税电子发票</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num</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http://www.xbrl.org/dtr/type/numeric</w:t>
            </w:r>
          </w:p>
        </w:tc>
        <w:tc>
          <w:tcPr>
            <w:tcW w:w="3475" w:type="dxa"/>
            <w:tcBorders>
              <w:top w:val="single" w:color="auto" w:sz="4" w:space="0"/>
              <w:left w:val="single" w:color="auto" w:sz="4" w:space="0"/>
              <w:bottom w:val="single" w:color="auto" w:sz="4" w:space="0"/>
              <w:right w:val="nil"/>
            </w:tcBorders>
          </w:tcPr>
          <w:p>
            <w:pPr>
              <w:spacing w:after="0" w:line="240" w:lineRule="auto"/>
              <w:jc w:val="both"/>
              <w:rPr>
                <w:rFonts w:ascii="Times New Roman" w:hAnsi="Times New Roman" w:eastAsia="仿宋_GB2312"/>
                <w:color w:val="000000"/>
                <w:sz w:val="24"/>
                <w:szCs w:val="24"/>
              </w:rPr>
            </w:pPr>
            <w:r>
              <w:rPr>
                <w:rFonts w:ascii="Times New Roman" w:hAnsi="Times New Roman" w:eastAsia="仿宋_GB2312"/>
                <w:sz w:val="24"/>
                <w:szCs w:val="24"/>
              </w:rPr>
              <w:t>percentItemType</w:t>
            </w:r>
            <w:r>
              <w:rPr>
                <w:rFonts w:hint="eastAsia" w:ascii="Times New Roman" w:hAnsi="Times New Roman" w:eastAsia="仿宋_GB2312"/>
                <w:sz w:val="24"/>
                <w:szCs w:val="24"/>
              </w:rPr>
              <w:t>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label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http://xbrl.org/2008/label</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&lt;label&gt;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xl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http://www.xbrl.org/2003/XLink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http://www.xbrl.org/2003/linkbase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http://www.w3.org/1999/xlink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http://www.xbrl.org/2003/instance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gen</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http://xbrl.org/2008/generic</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&lt;arc&gt;</w:t>
            </w:r>
            <w:r>
              <w:rPr>
                <w:rFonts w:hint="eastAsia" w:ascii="Times New Roman" w:hAnsi="Times New Roman" w:eastAsia="仿宋_GB2312"/>
                <w:sz w:val="24"/>
                <w:szCs w:val="24"/>
              </w:rPr>
              <w:t>、</w:t>
            </w:r>
            <w:r>
              <w:rPr>
                <w:rFonts w:ascii="Times New Roman" w:hAnsi="Times New Roman" w:eastAsia="仿宋_GB2312"/>
                <w:sz w:val="24"/>
                <w:szCs w:val="24"/>
              </w:rPr>
              <w:t>&lt;link&gt;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iso4217</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http://www.xbrl.org/2003/iso4217</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3"/>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每一份实例文档都是基于一套</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编制的，</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是解析实例文档的基础。在根标签中，使用</w:t>
      </w:r>
      <w:r>
        <w:rPr>
          <w:rFonts w:ascii="Times New Roman" w:hAnsi="Times New Roman" w:eastAsia="仿宋_GB2312"/>
          <w:sz w:val="28"/>
          <w:szCs w:val="28"/>
        </w:rPr>
        <w:t>&lt;link:schemaRef&gt;</w:t>
      </w:r>
      <w:r>
        <w:rPr>
          <w:rFonts w:hint="eastAsia" w:ascii="Times New Roman" w:hAnsi="Times New Roman" w:eastAsia="仿宋_GB2312"/>
          <w:sz w:val="28"/>
          <w:szCs w:val="28"/>
        </w:rPr>
        <w:t>标签定义实例文档对《增值税电子发票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》文件的引用，通过“</w:t>
      </w:r>
      <w:r>
        <w:rPr>
          <w:rFonts w:ascii="Times New Roman" w:hAnsi="Times New Roman" w:eastAsia="仿宋_GB2312"/>
          <w:sz w:val="28"/>
          <w:szCs w:val="28"/>
        </w:rPr>
        <w:t>xlink:href</w:t>
      </w:r>
      <w:r>
        <w:rPr>
          <w:rFonts w:hint="eastAsia" w:ascii="Times New Roman" w:hAnsi="Times New Roman" w:eastAsia="仿宋_GB2312"/>
          <w:sz w:val="28"/>
          <w:szCs w:val="28"/>
        </w:rPr>
        <w:t>”指向引用《增值税电子发票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》的相对地址（以开具方为例）：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&lt;link:schemaRef xlink:type="simple" xlink:href=" </w:t>
      </w:r>
      <w:r>
        <w:rPr>
          <w:rFonts w:hint="eastAsia" w:ascii="Times New Roman" w:hAnsi="Times New Roman" w:eastAsia="仿宋_GB2312"/>
          <w:sz w:val="28"/>
          <w:szCs w:val="28"/>
        </w:rPr>
        <w:t>inv</w:t>
      </w:r>
      <w:r>
        <w:rPr>
          <w:rFonts w:ascii="Times New Roman" w:hAnsi="Times New Roman" w:eastAsia="仿宋_GB2312"/>
          <w:sz w:val="28"/>
          <w:szCs w:val="28"/>
        </w:rPr>
        <w:t>_issuer_entry_point_2023-05-15.xsd"/&gt;</w:t>
      </w:r>
    </w:p>
    <w:p>
      <w:pPr>
        <w:pStyle w:val="13"/>
        <w:numPr>
          <w:ilvl w:val="0"/>
          <w:numId w:val="4"/>
        </w:numPr>
        <w:wordWrap/>
        <w:spacing w:after="0" w:line="560" w:lineRule="exact"/>
        <w:ind w:firstLineChars="0"/>
        <w:rPr>
          <w:b/>
          <w:bCs/>
        </w:rPr>
      </w:pPr>
      <w:r>
        <w:rPr>
          <w:rFonts w:hint="eastAsia"/>
          <w:b/>
          <w:bCs/>
        </w:rPr>
        <w:t>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事实值就是电子发票版面信息填写的内容，例如对于“发票代码”这个项目，其事实值就是电子发票抬头信息中的发票代码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w:t>
      </w:r>
      <w:r>
        <w:rPr>
          <w:rFonts w:ascii="Times New Roman" w:hAnsi="Times New Roman" w:eastAsia="仿宋_GB2312"/>
          <w:sz w:val="28"/>
          <w:szCs w:val="28"/>
        </w:rPr>
        <w:t>3</w:t>
      </w:r>
      <w:r>
        <w:rPr>
          <w:rFonts w:hint="eastAsia" w:ascii="Times New Roman" w:hAnsi="Times New Roman" w:eastAsia="仿宋_GB2312"/>
          <w:sz w:val="28"/>
          <w:szCs w:val="28"/>
        </w:rPr>
        <w:t>列示了部分事实值。</w:t>
      </w:r>
    </w:p>
    <w:p>
      <w:pPr>
        <w:pStyle w:val="13"/>
        <w:wordWrap/>
        <w:spacing w:after="0" w:line="560" w:lineRule="exact"/>
        <w:ind w:firstLine="0" w:firstLineChars="0"/>
        <w:jc w:val="center"/>
        <w:rPr>
          <w:b/>
          <w:bCs/>
          <w:sz w:val="24"/>
          <w:szCs w:val="24"/>
        </w:rPr>
      </w:pPr>
      <w:r>
        <w:rPr>
          <w:rFonts w:hint="eastAsia"/>
          <w:b/>
          <w:bCs/>
          <w:sz w:val="24"/>
          <w:szCs w:val="24"/>
        </w:rPr>
        <w:t xml:space="preserve">表 </w:t>
      </w:r>
      <w:r>
        <w:rPr>
          <w:b/>
          <w:bCs/>
          <w:sz w:val="24"/>
          <w:szCs w:val="24"/>
        </w:rPr>
        <w:fldChar w:fldCharType="begin"/>
      </w:r>
      <w:r>
        <w:rPr>
          <w:b/>
          <w:bCs/>
          <w:sz w:val="24"/>
          <w:szCs w:val="24"/>
        </w:rPr>
        <w:instrText xml:space="preserve"> </w:instrText>
      </w:r>
      <w:r>
        <w:rPr>
          <w:rFonts w:hint="eastAsia"/>
          <w:b/>
          <w:bCs/>
          <w:sz w:val="24"/>
          <w:szCs w:val="24"/>
        </w:rPr>
        <w:instrText xml:space="preserve">SEQ 表 \* ARABIC</w:instrText>
      </w:r>
      <w:r>
        <w:rPr>
          <w:b/>
          <w:bCs/>
          <w:sz w:val="24"/>
          <w:szCs w:val="24"/>
        </w:rPr>
        <w:instrText xml:space="preserve"> </w:instrText>
      </w:r>
      <w:r>
        <w:rPr>
          <w:b/>
          <w:bCs/>
          <w:sz w:val="24"/>
          <w:szCs w:val="24"/>
        </w:rPr>
        <w:fldChar w:fldCharType="separate"/>
      </w:r>
      <w:r>
        <w:rPr>
          <w:b/>
          <w:bCs/>
          <w:sz w:val="24"/>
          <w:szCs w:val="24"/>
        </w:rPr>
        <w:t>3</w:t>
      </w:r>
      <w:r>
        <w:rPr>
          <w:b/>
          <w:bCs/>
          <w:sz w:val="24"/>
          <w:szCs w:val="24"/>
        </w:rPr>
        <w:fldChar w:fldCharType="end"/>
      </w:r>
      <w:r>
        <w:rPr>
          <w:rFonts w:hint="eastAsia"/>
          <w:b/>
          <w:bCs/>
          <w:sz w:val="24"/>
          <w:szCs w:val="24"/>
        </w:rPr>
        <w:t>：事实值举例</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1"/>
        <w:gridCol w:w="4321"/>
        <w:gridCol w:w="286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增值税电子发票信息项</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价税合计（小写）</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9.22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价税合计（大写）</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陆佰万元整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数量</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小数型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4</w:t>
            </w:r>
            <w:r>
              <w:rPr>
                <w:rFonts w:ascii="Times New Roman" w:hAnsi="Times New Roman" w:eastAsia="仿宋_GB2312"/>
                <w:color w:val="000000"/>
                <w:sz w:val="24"/>
                <w:szCs w:val="24"/>
              </w:rPr>
              <w:t>5.60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false</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会计期间</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所得税税前扣除年度起</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年份型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w:t>
            </w:r>
          </w:p>
        </w:tc>
      </w:tr>
    </w:tbl>
    <w:p>
      <w:pPr>
        <w:pStyle w:val="16"/>
        <w:keepNext w:val="0"/>
        <w:keepLines w:val="0"/>
        <w:pageBreakBefore w:val="0"/>
        <w:widowControl/>
        <w:kinsoku/>
        <w:wordWrap/>
        <w:overflowPunct/>
        <w:topLinePunct w:val="0"/>
        <w:autoSpaceDE/>
        <w:autoSpaceDN/>
        <w:bidi w:val="0"/>
        <w:adjustRightInd/>
        <w:snapToGrid/>
        <w:spacing w:after="0" w:line="560" w:lineRule="exact"/>
        <w:textAlignment w:val="auto"/>
        <w:outlineLvl w:val="9"/>
      </w:pPr>
      <w:r>
        <w:rPr>
          <w:rFonts w:cs="Times New Roman"/>
        </w:rPr>
        <w:t>1</w:t>
      </w:r>
      <w:r>
        <w:rPr>
          <w:rFonts w:hint="eastAsia" w:cs="Times New Roman"/>
        </w:rPr>
        <w:t>．</w:t>
      </w:r>
      <w:r>
        <w:rPr>
          <w:rFonts w:hint="eastAsia"/>
        </w:rPr>
        <w:t>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数值型事实值的定义，除了通过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），还会通过</w:t>
      </w:r>
      <w:r>
        <w:rPr>
          <w:rFonts w:ascii="Times New Roman" w:hAnsi="Times New Roman" w:eastAsia="仿宋_GB2312"/>
          <w:sz w:val="28"/>
          <w:szCs w:val="28"/>
        </w:rPr>
        <w:t>unitRef</w:t>
      </w:r>
      <w:r>
        <w:rPr>
          <w:rFonts w:hint="eastAsia" w:ascii="Times New Roman" w:hAnsi="Times New Roman" w:eastAsia="仿宋_GB2312"/>
          <w:sz w:val="28"/>
          <w:szCs w:val="28"/>
        </w:rPr>
        <w:t>指向一个预定的单位（</w:t>
      </w:r>
      <w:r>
        <w:rPr>
          <w:rFonts w:ascii="Times New Roman" w:hAnsi="Times New Roman" w:eastAsia="仿宋_GB2312"/>
          <w:sz w:val="28"/>
          <w:szCs w:val="28"/>
        </w:rPr>
        <w:t>unit</w:t>
      </w:r>
      <w:r>
        <w:rPr>
          <w:rFonts w:hint="eastAsia" w:ascii="Times New Roman" w:hAnsi="Times New Roman" w:eastAsia="仿宋_GB2312"/>
          <w:sz w:val="28"/>
          <w:szCs w:val="28"/>
        </w:rPr>
        <w:t>），并通过事实值的</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（小数点后位数）属性表达数据的精确度，图1是“价税合计（大写）”对应的事实值定义信息：</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312" w:afterLines="100" w:line="560" w:lineRule="exact"/>
              <w:ind w:firstLine="0" w:firstLineChars="0"/>
              <w:rPr>
                <w:sz w:val="24"/>
                <w:szCs w:val="24"/>
              </w:rPr>
            </w:pPr>
            <w:r>
              <w:rPr>
                <w:rFonts w:hint="eastAsia"/>
                <w:sz w:val="24"/>
                <w:szCs w:val="24"/>
              </w:rPr>
              <w:t>&lt;inv:TaxIncludedAmountInWords contextRef="c1"&gt;玖万捌仟元整&lt;/inv:TaxIncludedAmountInWords&gt;</w:t>
            </w:r>
          </w:p>
        </w:tc>
      </w:tr>
    </w:tbl>
    <w:p>
      <w:pPr>
        <w:pStyle w:val="13"/>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16"/>
        <w:keepNext w:val="0"/>
        <w:keepLines w:val="0"/>
        <w:pageBreakBefore w:val="0"/>
        <w:widowControl/>
        <w:kinsoku/>
        <w:wordWrap/>
        <w:overflowPunct/>
        <w:topLinePunct w:val="0"/>
        <w:autoSpaceDE/>
        <w:autoSpaceDN/>
        <w:bidi w:val="0"/>
        <w:adjustRightInd/>
        <w:snapToGrid/>
        <w:spacing w:after="0" w:line="560" w:lineRule="exact"/>
        <w:textAlignment w:val="auto"/>
        <w:outlineLvl w:val="9"/>
      </w:pPr>
      <w:r>
        <w:rPr>
          <w:rFonts w:cs="Times New Roman"/>
        </w:rPr>
        <w:t>2</w:t>
      </w:r>
      <w:r>
        <w:rPr>
          <w:rFonts w:hint="eastAsia" w:cs="Times New Roman"/>
        </w:rPr>
        <w:t>．</w:t>
      </w:r>
      <w:r>
        <w:rPr>
          <w:rFonts w:hint="eastAsia"/>
        </w:rPr>
        <w:t>非数值型事实值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非数值型事实值的定义，是将事实值赋予给对应的元素名，并通过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），图</w:t>
      </w:r>
      <w:r>
        <w:rPr>
          <w:rFonts w:ascii="Times New Roman" w:hAnsi="Times New Roman" w:eastAsia="仿宋_GB2312"/>
          <w:sz w:val="28"/>
          <w:szCs w:val="28"/>
        </w:rPr>
        <w:t>2</w:t>
      </w:r>
      <w:r>
        <w:rPr>
          <w:rFonts w:hint="eastAsia" w:ascii="Times New Roman" w:hAnsi="Times New Roman" w:eastAsia="仿宋_GB2312"/>
          <w:sz w:val="28"/>
          <w:szCs w:val="28"/>
        </w:rPr>
        <w:t>为“是否红字发票”对应的事实值定义信息：</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312" w:afterLines="100" w:line="560" w:lineRule="exact"/>
              <w:ind w:firstLine="0" w:firstLineChars="0"/>
              <w:rPr>
                <w:sz w:val="24"/>
                <w:szCs w:val="24"/>
              </w:rPr>
            </w:pPr>
            <w:r>
              <w:rPr>
                <w:sz w:val="24"/>
                <w:szCs w:val="24"/>
              </w:rPr>
              <w:t>&lt;inv:WhetherInvoiceIsRedInvoice contextRef="c1"&gt;false&lt;/inv:WhetherInvoiceIsRedInvoice&gt;</w:t>
            </w:r>
          </w:p>
        </w:tc>
      </w:tr>
    </w:tbl>
    <w:p>
      <w:pPr>
        <w:pStyle w:val="13"/>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3"/>
        <w:numPr>
          <w:ilvl w:val="0"/>
          <w:numId w:val="4"/>
        </w:numPr>
        <w:wordWrap/>
        <w:spacing w:after="0" w:line="560" w:lineRule="exact"/>
        <w:ind w:firstLineChars="0"/>
        <w:rPr>
          <w:b/>
          <w:bCs/>
        </w:rPr>
      </w:pPr>
      <w:r>
        <w:rPr>
          <w:rFonts w:hint="eastAsia"/>
          <w:b/>
          <w:bCs/>
        </w:rPr>
        <w:t>上下文</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每个事实值都会通过</w:t>
      </w:r>
      <w:r>
        <w:rPr>
          <w:rFonts w:ascii="Times New Roman" w:hAnsi="Times New Roman" w:eastAsia="仿宋_GB2312"/>
          <w:sz w:val="28"/>
          <w:szCs w:val="28"/>
        </w:rPr>
        <w:t>contextRef</w:t>
      </w:r>
      <w:r>
        <w:rPr>
          <w:rFonts w:hint="eastAsia" w:ascii="Times New Roman" w:hAnsi="Times New Roman" w:eastAsia="仿宋_GB2312"/>
          <w:sz w:val="28"/>
          <w:szCs w:val="28"/>
        </w:rPr>
        <w:t>属性赋予的上下文</w:t>
      </w:r>
      <w:r>
        <w:rPr>
          <w:rFonts w:ascii="Times New Roman" w:hAnsi="Times New Roman" w:eastAsia="仿宋_GB2312"/>
          <w:sz w:val="28"/>
          <w:szCs w:val="28"/>
        </w:rPr>
        <w:t>ID</w:t>
      </w:r>
      <w:r>
        <w:rPr>
          <w:rFonts w:hint="eastAsia" w:ascii="Times New Roman" w:hAnsi="Times New Roman" w:eastAsia="仿宋_GB2312"/>
          <w:sz w:val="28"/>
          <w:szCs w:val="28"/>
        </w:rPr>
        <w:t>指向预定义的上下文（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）。通过指定上下文，才能够确定事实值的具体含义。</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上下文要素包括：实体信息（</w:t>
      </w:r>
      <w:r>
        <w:rPr>
          <w:rFonts w:ascii="Times New Roman" w:hAnsi="Times New Roman" w:eastAsia="仿宋_GB2312"/>
          <w:sz w:val="28"/>
          <w:szCs w:val="28"/>
        </w:rPr>
        <w:t>entity</w:t>
      </w:r>
      <w:r>
        <w:rPr>
          <w:rFonts w:hint="eastAsia" w:ascii="Times New Roman" w:hAnsi="Times New Roman" w:eastAsia="仿宋_GB2312"/>
          <w:sz w:val="28"/>
          <w:szCs w:val="28"/>
        </w:rPr>
        <w:t>）、时期信息（</w:t>
      </w:r>
      <w:r>
        <w:rPr>
          <w:rFonts w:ascii="Times New Roman" w:hAnsi="Times New Roman" w:eastAsia="仿宋_GB2312"/>
          <w:sz w:val="28"/>
          <w:szCs w:val="28"/>
        </w:rPr>
        <w:t>period</w:t>
      </w:r>
      <w:r>
        <w:rPr>
          <w:rFonts w:hint="eastAsia" w:ascii="Times New Roman" w:hAnsi="Times New Roman" w:eastAsia="仿宋_GB2312"/>
          <w:sz w:val="28"/>
          <w:szCs w:val="28"/>
        </w:rPr>
        <w:t>）和场景信息（</w:t>
      </w:r>
      <w:r>
        <w:rPr>
          <w:rFonts w:ascii="Times New Roman" w:hAnsi="Times New Roman" w:eastAsia="仿宋_GB2312"/>
          <w:sz w:val="28"/>
          <w:szCs w:val="28"/>
        </w:rPr>
        <w:t>scenario</w:t>
      </w:r>
      <w:r>
        <w:rPr>
          <w:rFonts w:hint="eastAsia" w:ascii="Times New Roman" w:hAnsi="Times New Roman" w:eastAsia="仿宋_GB2312"/>
          <w:sz w:val="28"/>
          <w:szCs w:val="28"/>
        </w:rPr>
        <w:t>）。在根标签下，使用使用</w:t>
      </w:r>
      <w:r>
        <w:rPr>
          <w:rFonts w:ascii="Times New Roman" w:hAnsi="Times New Roman" w:eastAsia="仿宋_GB2312"/>
          <w:sz w:val="28"/>
          <w:szCs w:val="28"/>
        </w:rPr>
        <w:t>&lt;xbrli:context&gt;</w:t>
      </w:r>
      <w:r>
        <w:rPr>
          <w:rFonts w:hint="eastAsia" w:ascii="Times New Roman" w:hAnsi="Times New Roman" w:eastAsia="仿宋_GB2312"/>
          <w:sz w:val="28"/>
          <w:szCs w:val="28"/>
        </w:rPr>
        <w:t>标签定义元素数据的上下文信息，下设子标签</w:t>
      </w:r>
      <w:r>
        <w:rPr>
          <w:rFonts w:ascii="Times New Roman" w:hAnsi="Times New Roman" w:eastAsia="仿宋_GB2312"/>
          <w:sz w:val="28"/>
          <w:szCs w:val="28"/>
        </w:rPr>
        <w:t>&lt;xbrli:entity&gt;</w:t>
      </w:r>
      <w:r>
        <w:rPr>
          <w:rFonts w:hint="eastAsia" w:ascii="Times New Roman" w:hAnsi="Times New Roman" w:eastAsia="仿宋_GB2312"/>
          <w:sz w:val="28"/>
          <w:szCs w:val="28"/>
        </w:rPr>
        <w:t>、</w:t>
      </w:r>
      <w:r>
        <w:rPr>
          <w:rFonts w:ascii="Times New Roman" w:hAnsi="Times New Roman" w:eastAsia="仿宋_GB2312"/>
          <w:sz w:val="28"/>
          <w:szCs w:val="28"/>
        </w:rPr>
        <w:t>&lt;xbrli:period&gt;</w:t>
      </w:r>
      <w:r>
        <w:rPr>
          <w:rFonts w:hint="eastAsia" w:ascii="Times New Roman" w:hAnsi="Times New Roman" w:eastAsia="仿宋_GB2312"/>
          <w:sz w:val="28"/>
          <w:szCs w:val="28"/>
        </w:rPr>
        <w:t>、</w:t>
      </w:r>
      <w:r>
        <w:rPr>
          <w:rFonts w:ascii="Times New Roman" w:hAnsi="Times New Roman" w:eastAsia="仿宋_GB2312"/>
          <w:sz w:val="28"/>
          <w:szCs w:val="28"/>
        </w:rPr>
        <w:t>&lt;xbrli:scenario&gt;</w:t>
      </w:r>
      <w:r>
        <w:rPr>
          <w:rFonts w:hint="eastAsia" w:ascii="Times New Roman" w:hAnsi="Times New Roman" w:eastAsia="仿宋_GB2312"/>
          <w:sz w:val="28"/>
          <w:szCs w:val="28"/>
        </w:rPr>
        <w:t>，用于标记上文所述的实体信息、时期信息和场景信息。</w:t>
      </w:r>
    </w:p>
    <w:p>
      <w:pPr>
        <w:pStyle w:val="16"/>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562" w:firstLineChars="200"/>
        <w:textAlignment w:val="auto"/>
        <w:outlineLvl w:val="9"/>
      </w:pPr>
      <w:r>
        <w:rPr>
          <w:rFonts w:cs="Times New Roman"/>
        </w:rPr>
        <w:t>1</w:t>
      </w:r>
      <w:r>
        <w:rPr>
          <w:rFonts w:hint="eastAsia" w:cs="Times New Roman"/>
        </w:rPr>
        <w:t>．</w:t>
      </w:r>
      <w:r>
        <w:rPr>
          <w:rFonts w:hint="eastAsia"/>
        </w:rPr>
        <w:t>实体信息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实体信息即指实例文档数据的发布者信息，使用标签</w:t>
      </w:r>
      <w:r>
        <w:rPr>
          <w:rFonts w:ascii="Times New Roman" w:hAnsi="Times New Roman" w:eastAsia="仿宋_GB2312"/>
          <w:sz w:val="28"/>
          <w:szCs w:val="28"/>
        </w:rPr>
        <w:t>&lt;xbrli:entity&gt;</w:t>
      </w:r>
      <w:r>
        <w:rPr>
          <w:rFonts w:hint="eastAsia" w:ascii="Times New Roman" w:hAnsi="Times New Roman" w:eastAsia="仿宋_GB2312"/>
          <w:sz w:val="28"/>
          <w:szCs w:val="28"/>
        </w:rPr>
        <w:t>标记。在电子发票中，开具方实例文档使用销售方纳税人识别号（统一社会信用代码）作为实体的唯一标识码，接收方实例文档使用会计主体统一社会信用代码作为实体的唯一标识码，在&lt;xbrli:identifier&gt;标签的文本中标记。</w:t>
      </w:r>
    </w:p>
    <w:p>
      <w:pPr>
        <w:pStyle w:val="16"/>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时期信息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时期信息是指事实值所对应的日期或期间，使用标签</w:t>
      </w:r>
      <w:r>
        <w:rPr>
          <w:rFonts w:ascii="Times New Roman" w:hAnsi="Times New Roman" w:eastAsia="仿宋_GB2312"/>
          <w:sz w:val="28"/>
          <w:szCs w:val="28"/>
        </w:rPr>
        <w:t>&lt;xbrli:period&gt;</w:t>
      </w:r>
      <w:r>
        <w:rPr>
          <w:rFonts w:hint="eastAsia" w:ascii="Times New Roman" w:hAnsi="Times New Roman" w:eastAsia="仿宋_GB2312"/>
          <w:sz w:val="28"/>
          <w:szCs w:val="28"/>
        </w:rPr>
        <w:t>标记。在电子发票中，期间类型均为时点型，使用</w:t>
      </w:r>
      <w:r>
        <w:rPr>
          <w:rFonts w:ascii="Times New Roman" w:hAnsi="Times New Roman" w:eastAsia="仿宋_GB2312"/>
          <w:sz w:val="28"/>
          <w:szCs w:val="28"/>
        </w:rPr>
        <w:t>&lt;xbrli:instant&gt;</w:t>
      </w:r>
      <w:r>
        <w:rPr>
          <w:rFonts w:hint="eastAsia" w:ascii="Times New Roman" w:hAnsi="Times New Roman" w:eastAsia="仿宋_GB2312"/>
          <w:sz w:val="28"/>
          <w:szCs w:val="28"/>
        </w:rPr>
        <w:t>标签表示，统一采用</w:t>
      </w:r>
      <w:r>
        <w:rPr>
          <w:rFonts w:ascii="Times New Roman" w:hAnsi="Times New Roman" w:eastAsia="仿宋_GB2312"/>
          <w:sz w:val="28"/>
          <w:szCs w:val="28"/>
        </w:rPr>
        <w:t>yyyy-mm-dd</w:t>
      </w:r>
      <w:r>
        <w:rPr>
          <w:rFonts w:hint="eastAsia" w:ascii="Times New Roman" w:hAnsi="Times New Roman" w:eastAsia="仿宋_GB2312"/>
          <w:sz w:val="28"/>
          <w:szCs w:val="28"/>
        </w:rPr>
        <w:t>的日期格式。</w:t>
      </w:r>
    </w:p>
    <w:p>
      <w:pPr>
        <w:pStyle w:val="13"/>
        <w:numPr>
          <w:ilvl w:val="0"/>
          <w:numId w:val="4"/>
        </w:numPr>
        <w:wordWrap/>
        <w:spacing w:after="0" w:line="560" w:lineRule="exact"/>
        <w:ind w:firstLineChars="0"/>
        <w:rPr>
          <w:b/>
          <w:bCs/>
        </w:rPr>
      </w:pPr>
      <w:r>
        <w:rPr>
          <w:rFonts w:hint="eastAsia"/>
          <w:b/>
          <w:bCs/>
        </w:rPr>
        <w:t>单位和精确度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单位是用来说明数值型数据（非字符串及转义文本）的度量单位，最常见的度量单位就是货币型的单位，例如人民币、美元等。数值型数据的事实值应通过单位指向（</w:t>
      </w:r>
      <w:r>
        <w:rPr>
          <w:rFonts w:ascii="Times New Roman" w:hAnsi="Times New Roman" w:eastAsia="仿宋_GB2312"/>
          <w:sz w:val="28"/>
          <w:szCs w:val="28"/>
        </w:rPr>
        <w:t>unitRef</w:t>
      </w:r>
      <w:r>
        <w:rPr>
          <w:rFonts w:hint="eastAsia" w:ascii="Times New Roman" w:hAnsi="Times New Roman" w:eastAsia="仿宋_GB2312"/>
          <w:sz w:val="28"/>
          <w:szCs w:val="28"/>
        </w:rPr>
        <w:t>）属性将定义的单位</w:t>
      </w:r>
      <w:r>
        <w:rPr>
          <w:rFonts w:ascii="Times New Roman" w:hAnsi="Times New Roman" w:eastAsia="仿宋_GB2312"/>
          <w:sz w:val="28"/>
          <w:szCs w:val="28"/>
        </w:rPr>
        <w:t>ID</w:t>
      </w:r>
      <w:r>
        <w:rPr>
          <w:rFonts w:hint="eastAsia" w:ascii="Times New Roman" w:hAnsi="Times New Roman" w:eastAsia="仿宋_GB2312"/>
          <w:sz w:val="28"/>
          <w:szCs w:val="28"/>
        </w:rPr>
        <w:t>（</w:t>
      </w:r>
      <w:r>
        <w:rPr>
          <w:rFonts w:ascii="Times New Roman" w:hAnsi="Times New Roman" w:eastAsia="仿宋_GB2312"/>
          <w:sz w:val="28"/>
          <w:szCs w:val="28"/>
        </w:rPr>
        <w:t>unit ID</w:t>
      </w:r>
      <w:r>
        <w:rPr>
          <w:rFonts w:hint="eastAsia" w:ascii="Times New Roman" w:hAnsi="Times New Roman" w:eastAsia="仿宋_GB2312"/>
          <w:sz w:val="28"/>
          <w:szCs w:val="28"/>
        </w:rPr>
        <w:t>）指向一个预定的单位；对事实值单位的定义同时也指明了事实值的含义，如为货币型元素赋值时，通过单位的定义能够明确金额所代表的币种。《增值税电子发票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》中仅涉及小写金额涉及单位定义，表</w:t>
      </w:r>
      <w:r>
        <w:rPr>
          <w:rFonts w:ascii="Times New Roman" w:hAnsi="Times New Roman" w:eastAsia="仿宋_GB2312"/>
          <w:sz w:val="28"/>
          <w:szCs w:val="28"/>
        </w:rPr>
        <w:t>4</w:t>
      </w:r>
      <w:r>
        <w:rPr>
          <w:rFonts w:hint="eastAsia" w:ascii="Times New Roman" w:hAnsi="Times New Roman" w:eastAsia="仿宋_GB2312"/>
          <w:sz w:val="28"/>
          <w:szCs w:val="28"/>
        </w:rPr>
        <w:t>展示了货币型元素常用的单位定义。</w:t>
      </w:r>
    </w:p>
    <w:p>
      <w:pPr>
        <w:pStyle w:val="13"/>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6"/>
        <w:tblW w:w="9960"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2"/>
        <w:gridCol w:w="2302"/>
        <w:gridCol w:w="229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ascii="Times New Roman" w:hAnsi="Times New Roman" w:eastAsia="仿宋_GB2312"/>
                <w:b/>
                <w:color w:val="000000"/>
                <w:sz w:val="24"/>
                <w:szCs w:val="24"/>
                <w:lang w:val="en-GB"/>
              </w:rPr>
              <w:t>ID</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在根标签中，使用</w:t>
      </w:r>
      <w:r>
        <w:rPr>
          <w:rFonts w:ascii="Times New Roman" w:hAnsi="Times New Roman" w:eastAsia="仿宋_GB2312"/>
          <w:sz w:val="28"/>
          <w:szCs w:val="28"/>
        </w:rPr>
        <w:t>&lt;xbrli:unit&gt;</w:t>
      </w:r>
      <w:r>
        <w:rPr>
          <w:rFonts w:hint="eastAsia" w:ascii="Times New Roman" w:hAnsi="Times New Roman" w:eastAsia="仿宋_GB2312"/>
          <w:sz w:val="28"/>
          <w:szCs w:val="28"/>
        </w:rPr>
        <w:t>标签预定义计量单位，单位的定义方式如下图所示：</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0" w:line="560" w:lineRule="exact"/>
              <w:ind w:firstLine="0" w:firstLineChars="0"/>
              <w:rPr>
                <w:sz w:val="24"/>
                <w:szCs w:val="24"/>
              </w:rPr>
            </w:pPr>
            <w:r>
              <w:rPr>
                <w:sz w:val="24"/>
                <w:szCs w:val="24"/>
              </w:rPr>
              <w:t>&lt;xbrli:unit id="u1"&gt;</w:t>
            </w:r>
          </w:p>
          <w:p>
            <w:pPr>
              <w:pStyle w:val="13"/>
              <w:spacing w:after="0" w:line="560" w:lineRule="exact"/>
              <w:ind w:firstLine="480"/>
              <w:rPr>
                <w:sz w:val="24"/>
                <w:szCs w:val="24"/>
              </w:rPr>
            </w:pPr>
            <w:r>
              <w:rPr>
                <w:sz w:val="24"/>
                <w:szCs w:val="24"/>
              </w:rPr>
              <w:t>&lt;xbrli:measure&gt;iso4217:CNY&lt;/xbrli:measure&gt;</w:t>
            </w:r>
          </w:p>
          <w:p>
            <w:pPr>
              <w:pStyle w:val="13"/>
              <w:spacing w:after="0" w:line="560" w:lineRule="exact"/>
              <w:ind w:firstLine="0" w:firstLineChars="0"/>
              <w:rPr>
                <w:sz w:val="24"/>
                <w:szCs w:val="24"/>
              </w:rPr>
            </w:pPr>
            <w:r>
              <w:rPr>
                <w:sz w:val="24"/>
                <w:szCs w:val="24"/>
              </w:rPr>
              <w:t>&lt;/xbrli:unit&gt;</w:t>
            </w:r>
          </w:p>
        </w:tc>
      </w:tr>
    </w:tbl>
    <w:p>
      <w:pPr>
        <w:pStyle w:val="13"/>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XBRL</w:t>
      </w:r>
      <w:r>
        <w:rPr>
          <w:rFonts w:hint="eastAsia" w:ascii="Times New Roman" w:hAnsi="Times New Roman" w:eastAsia="仿宋_GB2312"/>
          <w:sz w:val="28"/>
          <w:szCs w:val="28"/>
        </w:rPr>
        <w:t>通过事实值的</w:t>
      </w:r>
      <w:r>
        <w:rPr>
          <w:rFonts w:ascii="Times New Roman" w:hAnsi="Times New Roman" w:eastAsia="仿宋_GB2312"/>
          <w:sz w:val="28"/>
          <w:szCs w:val="28"/>
        </w:rPr>
        <w:t>precision</w:t>
      </w:r>
      <w:r>
        <w:rPr>
          <w:rFonts w:hint="eastAsia" w:ascii="Times New Roman" w:hAnsi="Times New Roman" w:eastAsia="仿宋_GB2312"/>
          <w:sz w:val="28"/>
          <w:szCs w:val="28"/>
        </w:rPr>
        <w:t>（精确度）或</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（小数点后位数）属性提供了表达数值型数据精确度的方式，一般使用</w:t>
      </w:r>
      <w:r>
        <w:rPr>
          <w:rFonts w:ascii="Times New Roman" w:hAnsi="Times New Roman" w:eastAsia="仿宋_GB2312"/>
          <w:sz w:val="28"/>
          <w:szCs w:val="28"/>
        </w:rPr>
        <w:t>decimals</w:t>
      </w:r>
      <w:r>
        <w:rPr>
          <w:rFonts w:hint="eastAsia" w:ascii="Times New Roman" w:hAnsi="Times New Roman" w:eastAsia="仿宋_GB2312"/>
          <w:sz w:val="28"/>
          <w:szCs w:val="28"/>
        </w:rPr>
        <w:t>属性比采用</w:t>
      </w:r>
      <w:r>
        <w:rPr>
          <w:rFonts w:ascii="Times New Roman" w:hAnsi="Times New Roman" w:eastAsia="仿宋_GB2312"/>
          <w:sz w:val="28"/>
          <w:szCs w:val="28"/>
        </w:rPr>
        <w:t>precision</w:t>
      </w:r>
      <w:r>
        <w:rPr>
          <w:rFonts w:hint="eastAsia" w:ascii="Times New Roman" w:hAnsi="Times New Roman" w:eastAsia="仿宋_GB2312"/>
          <w:sz w:val="28"/>
          <w:szCs w:val="28"/>
        </w:rPr>
        <w:t>属性能够更直观地展示数据的精度。表</w:t>
      </w:r>
      <w:r>
        <w:rPr>
          <w:rFonts w:ascii="Times New Roman" w:hAnsi="Times New Roman" w:eastAsia="仿宋_GB2312"/>
          <w:sz w:val="28"/>
          <w:szCs w:val="28"/>
        </w:rPr>
        <w:t>5</w:t>
      </w:r>
      <w:r>
        <w:rPr>
          <w:rFonts w:hint="eastAsia" w:ascii="Times New Roman" w:hAnsi="Times New Roman" w:eastAsia="仿宋_GB2312"/>
          <w:sz w:val="28"/>
          <w:szCs w:val="28"/>
        </w:rPr>
        <w:t>列示了数值型数据使用</w:t>
      </w:r>
      <w:r>
        <w:rPr>
          <w:rFonts w:ascii="Times New Roman" w:hAnsi="Times New Roman" w:eastAsia="仿宋_GB2312"/>
          <w:sz w:val="28"/>
          <w:szCs w:val="28"/>
        </w:rPr>
        <w:t>decimals</w:t>
      </w:r>
      <w:r>
        <w:rPr>
          <w:rFonts w:hint="eastAsia" w:ascii="Times New Roman" w:hAnsi="Times New Roman" w:eastAsia="仿宋_GB2312"/>
          <w:sz w:val="28"/>
          <w:szCs w:val="28"/>
        </w:rPr>
        <w:t>属性的例子。</w:t>
      </w:r>
    </w:p>
    <w:p>
      <w:pPr>
        <w:pStyle w:val="13"/>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319"/>
        <w:gridCol w:w="332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3"/>
        <w:numPr>
          <w:ilvl w:val="0"/>
          <w:numId w:val="4"/>
        </w:numPr>
        <w:wordWrap/>
        <w:spacing w:after="0" w:line="560" w:lineRule="exact"/>
        <w:ind w:firstLineChars="0"/>
        <w:rPr>
          <w:b/>
          <w:bCs/>
        </w:rPr>
      </w:pPr>
      <w:r>
        <w:rPr>
          <w:rFonts w:hint="eastAsia"/>
          <w:b/>
          <w:bCs/>
        </w:rPr>
        <w:t>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。文件名称各组成部分之间以英文字符下划线连接。其中，{票据类型简称}是inv_ord、inv_spcl、inv_tlf，即分别标识票据类型是增值税电子普通发票</w:t>
      </w:r>
      <w:r>
        <w:rPr>
          <w:rFonts w:hint="eastAsia" w:ascii="Times New Roman" w:hAnsi="Times New Roman" w:eastAsia="仿宋_GB2312"/>
          <w:sz w:val="28"/>
          <w:szCs w:val="28"/>
          <w:lang w:eastAsia="zh-CN"/>
        </w:rPr>
        <w:t>和</w:t>
      </w:r>
      <w:bookmarkStart w:id="1" w:name="_GoBack"/>
      <w:bookmarkEnd w:id="1"/>
      <w:r>
        <w:rPr>
          <w:rFonts w:hint="eastAsia" w:ascii="Times New Roman" w:hAnsi="Times New Roman" w:eastAsia="仿宋_GB2312"/>
          <w:sz w:val="28"/>
          <w:szCs w:val="28"/>
        </w:rPr>
        <w:t>增值税电子专用发票；{主体}用于区分实例文档的主体是开具方或接收方；{日期}格式为yyyymmdd，对于开具方是开票日期，对于接收方是记账日期；{票据唯一标识}是增值税电子发票的唯一标识码，即发票唯一标识；{文件后缀}是实例文档的后缀，即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增值税电子普通发票实例文档命名格式举例如下：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开具方实例文档名称：inv_ord_issuer_yyyymmdd_发票唯一标识.xml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接收方实例文档名称：inv_ord_receiver_yyyymmdd_发票唯一标识.xml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增值税电子专用发票实例文档命名格式举例如下：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开具方实例文档名称：inv_spcl_issuer_yyyymmdd_发票唯一标识.xml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接收方实例文档名称：inv_spcl_receiver_yyyymmdd_发票唯一标识.xml</w:t>
      </w: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增值税电子发票接收方</w:t>
      </w:r>
    </w:p>
    <w:p>
      <w:pPr>
        <w:pStyle w:val="12"/>
        <w:wordWrap/>
        <w:ind w:firstLine="560"/>
        <w:rPr>
          <w:rFonts w:ascii="Times New Roman" w:hAnsi="Times New Roman"/>
        </w:rPr>
      </w:pPr>
      <w:r>
        <w:rPr>
          <w:rFonts w:hint="eastAsia" w:ascii="Times New Roman" w:hAnsi="Times New Roman"/>
        </w:rPr>
        <w:t>（一</w:t>
      </w:r>
      <w:r>
        <w:rPr>
          <w:rFonts w:ascii="Times New Roman" w:hAnsi="Times New Roman"/>
        </w:rPr>
        <w:t>）</w:t>
      </w:r>
      <w:r>
        <w:rPr>
          <w:rFonts w:hint="eastAsia" w:ascii="Times New Roman" w:hAnsi="Times New Roman"/>
        </w:rPr>
        <w:t>获取并解析电子凭证增值税发票，同步标记状态位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企业、单位的业务人员可通过邮箱下载、微信卡包或支付宝发票管家等渠道获取电子凭证增值税发票文件，并使用XBRL工具包解析和提取XBRL格式的结构化数据信息。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，主流财务软件厂商应均已具备解析和生成实例文档的能力。财务软件厂商可根据《增值税电子发票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电子发票结构化数据并同步标记状态位（包括电子发票状态信息、会计主体信息、基础会计信息和企业所得税管理信息），自动生成标准化的电子发票业务（对象）数据，直接写入底层数据库或选择生成XBRL格式的实例文档。</w:t>
      </w:r>
    </w:p>
    <w:p>
      <w:pPr>
        <w:pStyle w:val="12"/>
        <w:wordWrap/>
        <w:ind w:firstLine="560"/>
        <w:rPr>
          <w:rFonts w:ascii="Times New Roman" w:hAnsi="Times New Roman"/>
        </w:rPr>
      </w:pPr>
      <w:r>
        <w:rPr>
          <w:rFonts w:hint="eastAsia" w:ascii="Times New Roman" w:hAnsi="Times New Roman"/>
        </w:rPr>
        <w:t>（二）自动入账并回写信息</w:t>
      </w:r>
    </w:p>
    <w:p>
      <w:pPr>
        <w:pStyle w:val="16"/>
        <w:spacing w:after="120"/>
        <w:ind w:left="442" w:firstLine="0" w:firstLineChars="0"/>
      </w:pPr>
      <w:r>
        <w:rPr>
          <w:rFonts w:hint="eastAsia"/>
        </w:rPr>
        <w:t>1、《增值税电子发票</w:t>
      </w:r>
      <w:r>
        <w:rPr>
          <w:rFonts w:hint="eastAsia"/>
          <w:lang w:eastAsia="zh-CN"/>
        </w:rPr>
        <w:t>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6</w:t>
      </w:r>
      <w:r>
        <w:rPr>
          <w:rFonts w:hint="eastAsia" w:ascii="Times New Roman" w:hAnsi="Times New Roman" w:eastAsia="仿宋_GB2312"/>
          <w:sz w:val="28"/>
          <w:szCs w:val="28"/>
        </w:rPr>
        <w:t>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p>
      <w:pPr>
        <w:pStyle w:val="13"/>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：《增值税电子发票</w:t>
      </w:r>
      <w:r>
        <w:rPr>
          <w:rFonts w:hint="eastAsia"/>
          <w:b/>
          <w:bCs/>
          <w:sz w:val="24"/>
          <w:szCs w:val="24"/>
          <w:lang w:eastAsia="zh-CN"/>
        </w:rPr>
        <w:t>标准</w:t>
      </w:r>
      <w:r>
        <w:rPr>
          <w:rFonts w:hint="eastAsia"/>
          <w:b/>
          <w:bCs/>
          <w:sz w:val="24"/>
          <w:szCs w:val="24"/>
        </w:rPr>
        <w:t>》（接收方）标记内容</w:t>
      </w:r>
    </w:p>
    <w:tbl>
      <w:tblPr>
        <w:tblStyle w:val="6"/>
        <w:tblW w:w="9781"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984"/>
        <w:gridCol w:w="2552"/>
        <w:gridCol w:w="1275"/>
        <w:gridCol w:w="29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tblHeader/>
        </w:trPr>
        <w:tc>
          <w:tcPr>
            <w:tcW w:w="993" w:type="dxa"/>
            <w:shd w:val="clear" w:color="auto" w:fill="auto"/>
            <w:vAlign w:val="center"/>
          </w:tcPr>
          <w:p>
            <w:pPr>
              <w:pStyle w:val="13"/>
              <w:spacing w:after="0"/>
              <w:ind w:firstLine="0" w:firstLineChars="0"/>
              <w:jc w:val="center"/>
              <w:rPr>
                <w:b/>
                <w:bCs/>
                <w:sz w:val="24"/>
                <w:szCs w:val="28"/>
              </w:rPr>
            </w:pPr>
            <w:r>
              <w:rPr>
                <w:rFonts w:hint="eastAsia"/>
                <w:b/>
                <w:bCs/>
                <w:sz w:val="24"/>
                <w:szCs w:val="28"/>
              </w:rPr>
              <w:t>序号</w:t>
            </w:r>
          </w:p>
        </w:tc>
        <w:tc>
          <w:tcPr>
            <w:tcW w:w="1984" w:type="dxa"/>
            <w:shd w:val="clear" w:color="auto" w:fill="auto"/>
            <w:vAlign w:val="center"/>
          </w:tcPr>
          <w:p>
            <w:pPr>
              <w:pStyle w:val="13"/>
              <w:spacing w:after="0"/>
              <w:ind w:firstLine="0" w:firstLineChars="0"/>
              <w:jc w:val="center"/>
              <w:rPr>
                <w:b/>
                <w:bCs/>
                <w:sz w:val="24"/>
                <w:szCs w:val="28"/>
              </w:rPr>
            </w:pPr>
            <w:r>
              <w:rPr>
                <w:rFonts w:hint="eastAsia"/>
                <w:b/>
                <w:bCs/>
                <w:sz w:val="24"/>
                <w:szCs w:val="28"/>
              </w:rPr>
              <w:t>分组名称</w:t>
            </w:r>
          </w:p>
        </w:tc>
        <w:tc>
          <w:tcPr>
            <w:tcW w:w="2552" w:type="dxa"/>
            <w:shd w:val="clear" w:color="auto" w:fill="auto"/>
            <w:vAlign w:val="center"/>
          </w:tcPr>
          <w:p>
            <w:pPr>
              <w:pStyle w:val="13"/>
              <w:spacing w:after="0"/>
              <w:ind w:firstLine="0" w:firstLineChars="0"/>
              <w:jc w:val="center"/>
              <w:rPr>
                <w:b/>
                <w:bCs/>
                <w:sz w:val="24"/>
                <w:szCs w:val="28"/>
              </w:rPr>
            </w:pPr>
            <w:r>
              <w:rPr>
                <w:rFonts w:hint="eastAsia"/>
                <w:b/>
                <w:bCs/>
                <w:sz w:val="24"/>
                <w:szCs w:val="28"/>
              </w:rPr>
              <w:t>字段名称</w:t>
            </w:r>
          </w:p>
        </w:tc>
        <w:tc>
          <w:tcPr>
            <w:tcW w:w="1275" w:type="dxa"/>
            <w:shd w:val="clear" w:color="auto" w:fill="auto"/>
            <w:vAlign w:val="center"/>
          </w:tcPr>
          <w:p>
            <w:pPr>
              <w:pStyle w:val="13"/>
              <w:spacing w:after="0"/>
              <w:ind w:firstLine="0" w:firstLineChars="0"/>
              <w:jc w:val="center"/>
              <w:rPr>
                <w:b/>
                <w:bCs/>
                <w:sz w:val="24"/>
                <w:szCs w:val="28"/>
              </w:rPr>
            </w:pPr>
            <w:r>
              <w:rPr>
                <w:rFonts w:hint="eastAsia"/>
                <w:b/>
                <w:bCs/>
                <w:sz w:val="24"/>
                <w:szCs w:val="28"/>
              </w:rPr>
              <w:t>数值类型</w:t>
            </w:r>
          </w:p>
        </w:tc>
        <w:tc>
          <w:tcPr>
            <w:tcW w:w="2977" w:type="dxa"/>
            <w:shd w:val="clear" w:color="auto" w:fill="auto"/>
            <w:vAlign w:val="center"/>
          </w:tcPr>
          <w:p>
            <w:pPr>
              <w:pStyle w:val="13"/>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1</w:t>
            </w:r>
          </w:p>
        </w:tc>
        <w:tc>
          <w:tcPr>
            <w:tcW w:w="1984" w:type="dxa"/>
            <w:vMerge w:val="restart"/>
            <w:shd w:val="clear" w:color="auto" w:fill="auto"/>
            <w:vAlign w:val="center"/>
          </w:tcPr>
          <w:p>
            <w:pPr>
              <w:pStyle w:val="13"/>
              <w:spacing w:after="0" w:line="240" w:lineRule="auto"/>
              <w:ind w:firstLine="480"/>
              <w:rPr>
                <w:bCs/>
                <w:sz w:val="24"/>
                <w:szCs w:val="24"/>
              </w:rPr>
            </w:pPr>
            <w:r>
              <w:rPr>
                <w:rFonts w:hint="eastAsia"/>
                <w:bCs/>
                <w:sz w:val="24"/>
                <w:szCs w:val="24"/>
              </w:rPr>
              <w:t>发票状态</w:t>
            </w: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发票唯一标识</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必填项，记录发票的唯一标识，即发票代码+发票号码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销售方名称</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销售方纳税人识别号（统一社会信用代码）</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4</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不含税金额合计</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5</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税额合计</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6</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价税合计（小写）</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7</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开票日期</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日期型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8</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合同编号</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选填项，记录发票关联的合同编号，企业可根据具体业务场景选择回写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9</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业务单据与发票的匹配状态</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选填项，记录业务单据与发票是否匹配，企业可根据具体业务场景选择回写，以采购场景为例，即订单、入库单和发票的三单匹配情况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0</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固定资产、无形资产折旧摊销方法</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选填项，记录购置的固定资产折旧方法或无形资产摊销方法，企业可根据具体业务场景选择回写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11</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是否已做保理、出售或资产证券化</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选填项，记录发票是否已用于保理、出售和资产证券化业务，企业可根据具体业务场景选择回写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12</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是否红字发票</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13</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是否已验真</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spacing w:after="0" w:line="240" w:lineRule="auto"/>
              <w:rPr>
                <w:rFonts w:ascii="Arial Unicode MS" w:hAnsi="Arial Unicode MS" w:eastAsia="Arial Unicode MS" w:cs="Arial Unicode MS"/>
                <w:color w:val="000000"/>
                <w:sz w:val="20"/>
                <w:szCs w:val="20"/>
              </w:rPr>
            </w:pPr>
            <w:r>
              <w:rPr>
                <w:rFonts w:hint="eastAsia" w:ascii="Times New Roman" w:hAnsi="Times New Roman" w:eastAsia="仿宋_GB2312" w:cs="Arial"/>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14</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是否已用途确认</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r>
              <w:rPr>
                <w:bCs/>
                <w:sz w:val="24"/>
                <w:szCs w:val="24"/>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15</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确认用途</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必填项，增值税电子专用发票确认用途包含抵扣税款、出口退税、代办退税、不抵扣、出口转内销等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16</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用途确认所属期</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17</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是否已入账</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18</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是否已付款</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选填项，企业可根据发票付款情况选择回写付款状态信息，若存在拿到发票后多次付款的情况，需在完成所有付款后标记为“true”</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19</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银行回单编号</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选填项，企业可根据发票付款情况选择回写付款后返回的银行回单编号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是否进项税额转出</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r>
              <w:rPr>
                <w:bCs/>
                <w:sz w:val="24"/>
                <w:szCs w:val="24"/>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21</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进项税额转出金额</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r>
              <w:rPr>
                <w:bCs/>
                <w:sz w:val="24"/>
                <w:szCs w:val="24"/>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22</w:t>
            </w:r>
          </w:p>
        </w:tc>
        <w:tc>
          <w:tcPr>
            <w:tcW w:w="1984" w:type="dxa"/>
            <w:vMerge w:val="restart"/>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会计主体信息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会计主体统一社会信用代码</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23</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会计主体名称</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24</w:t>
            </w:r>
          </w:p>
        </w:tc>
        <w:tc>
          <w:tcPr>
            <w:tcW w:w="1984" w:type="dxa"/>
            <w:vMerge w:val="restart"/>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记账凭证信息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记账凭证编号</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必填项，记账凭证的唯一标识，用于验证发票事项入账的唯一性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5</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记账日期</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日期型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必填项，格式为年-月-日，如2022-08-18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6</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会计期间</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7</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记账凭证摘要</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选填项，企业可根据记账凭证实际情况选择回写，若摘要以分录行记录输出，仅记录第一行凭证分录的摘要信息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8</w:t>
            </w:r>
          </w:p>
        </w:tc>
        <w:tc>
          <w:tcPr>
            <w:tcW w:w="1984" w:type="dxa"/>
            <w:vMerge w:val="restart"/>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借贷方会计信息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借贷方向</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选填项，企业可根据每条会计分录的借贷方向选择回写，填写“借方”或“贷方”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9</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总账科目名称</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选填项，企业可根据每条会计分录回写会计准则约定的统一规范科目名称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0</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明细科目名称</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选填项，企业可根据每条会计分录回写准确反映经济业务内容的末级科目或者辅助信息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1</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入账金额</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选填项，企业记录根据科目的本位币入账金额选择回写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2</w:t>
            </w:r>
          </w:p>
        </w:tc>
        <w:tc>
          <w:tcPr>
            <w:tcW w:w="1984"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企业所得税管理信息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权责发生制下支出所属期起</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选填项，企业可根据发票关联业务的成本费用支出情况，按照权责发生制选择回写支出所属期起始时间，格式为年-月，如2022-08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3</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权责发生制下支出所属期止</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选填项，企业可根据发票关联业务的成本费用支出情况，按照权责发生制选择回写支出所属期结束时间，格式为年-月，如2022-08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4</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是否已所得税税前扣除</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5</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所得税税前扣除年度起</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年份型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选填项，格式为年，如2022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6</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所得税税前扣除年度止</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年份型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选填项，格式为年，如2022</w:t>
            </w:r>
          </w:p>
        </w:tc>
      </w:tr>
    </w:tbl>
    <w:p>
      <w:pPr>
        <w:pStyle w:val="16"/>
        <w:spacing w:after="120"/>
        <w:ind w:left="442" w:firstLine="0" w:firstLineChars="0"/>
      </w:pPr>
      <w:r>
        <w:rPr>
          <w:rFonts w:hint="eastAsia"/>
        </w:rPr>
        <w:t>2、增值税电子发票回写示例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增值税电子专用发票为例，将对下列信息进行回写。</w:t>
      </w:r>
    </w:p>
    <w:p>
      <w:pPr>
        <w:pStyle w:val="13"/>
        <w:numPr>
          <w:ilvl w:val="0"/>
          <w:numId w:val="5"/>
        </w:numPr>
        <w:wordWrap/>
        <w:spacing w:after="0" w:line="560" w:lineRule="exact"/>
        <w:ind w:firstLineChars="0"/>
        <w:rPr>
          <w:b/>
          <w:bCs/>
          <w:szCs w:val="28"/>
        </w:rPr>
      </w:pPr>
      <w:r>
        <w:rPr>
          <w:rFonts w:hint="eastAsia"/>
          <w:b/>
          <w:bCs/>
        </w:rPr>
        <w:t>发票</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以增值税专用电子发票为例，发票状态如下：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）发票唯一标识：</w:t>
      </w:r>
      <w:r>
        <w:rPr>
          <w:rFonts w:ascii="Times New Roman" w:hAnsi="Times New Roman" w:eastAsia="仿宋_GB2312"/>
          <w:sz w:val="28"/>
          <w:szCs w:val="28"/>
        </w:rPr>
        <w:t>06200210011300341001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（2）销售方名称：甘肃****有限公司</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（3）销售方纳税人识别号（统一社会信用代码）：</w:t>
      </w:r>
      <w:r>
        <w:rPr>
          <w:rFonts w:ascii="Times New Roman" w:hAnsi="Times New Roman" w:eastAsia="仿宋_GB2312"/>
          <w:sz w:val="28"/>
          <w:szCs w:val="28"/>
        </w:rPr>
        <w:t>919600007000XXXXXX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（4）不含税金额合计：</w:t>
      </w:r>
      <w:r>
        <w:rPr>
          <w:rFonts w:ascii="Times New Roman" w:hAnsi="Times New Roman" w:eastAsia="仿宋_GB2312"/>
          <w:sz w:val="28"/>
          <w:szCs w:val="28"/>
        </w:rPr>
        <w:t>97029.70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（5）税额合计：</w:t>
      </w:r>
      <w:r>
        <w:rPr>
          <w:rFonts w:ascii="Times New Roman" w:hAnsi="Times New Roman" w:eastAsia="仿宋_GB2312"/>
          <w:sz w:val="28"/>
          <w:szCs w:val="28"/>
        </w:rPr>
        <w:t>970.30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（6）价税合计（小写）：</w:t>
      </w:r>
      <w:r>
        <w:rPr>
          <w:rFonts w:ascii="Times New Roman" w:hAnsi="Times New Roman" w:eastAsia="仿宋_GB2312"/>
          <w:sz w:val="28"/>
          <w:szCs w:val="28"/>
        </w:rPr>
        <w:t>98000.00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（7）开票日期：</w:t>
      </w:r>
      <w:r>
        <w:rPr>
          <w:rFonts w:ascii="Times New Roman" w:hAnsi="Times New Roman" w:eastAsia="仿宋_GB2312"/>
          <w:sz w:val="28"/>
          <w:szCs w:val="28"/>
        </w:rPr>
        <w:t>20XX-XX-XX</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（8）合同编号：</w:t>
      </w:r>
      <w:r>
        <w:rPr>
          <w:rFonts w:ascii="Times New Roman" w:hAnsi="Times New Roman" w:eastAsia="仿宋_GB2312"/>
          <w:sz w:val="28"/>
          <w:szCs w:val="28"/>
        </w:rPr>
        <w:t>HT1234567890</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）业务单据与发票的匹配状态：已匹配</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）固定资产、无形资产折旧摊销方法：-</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11</w:t>
      </w:r>
      <w:r>
        <w:rPr>
          <w:rFonts w:hint="eastAsia" w:ascii="Times New Roman" w:hAnsi="Times New Roman" w:eastAsia="仿宋_GB2312"/>
          <w:sz w:val="28"/>
          <w:szCs w:val="28"/>
        </w:rPr>
        <w:t>）是否已做保理、出售或资产证券化：否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）是否已验真：是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4</w:t>
      </w:r>
      <w:r>
        <w:rPr>
          <w:rFonts w:hint="eastAsia" w:ascii="Times New Roman" w:hAnsi="Times New Roman" w:eastAsia="仿宋_GB2312"/>
          <w:sz w:val="28"/>
          <w:szCs w:val="28"/>
        </w:rPr>
        <w:t>）是否已用途确认：是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）确认用途：</w:t>
      </w:r>
      <w:r>
        <w:rPr>
          <w:rFonts w:ascii="Times New Roman" w:hAnsi="Times New Roman" w:eastAsia="仿宋_GB2312"/>
          <w:sz w:val="28"/>
          <w:szCs w:val="28"/>
        </w:rPr>
        <w:t>XXXXXX</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）用途确认所属期：2</w:t>
      </w:r>
      <w:r>
        <w:rPr>
          <w:rFonts w:ascii="Times New Roman" w:hAnsi="Times New Roman" w:eastAsia="仿宋_GB2312"/>
          <w:sz w:val="28"/>
          <w:szCs w:val="28"/>
        </w:rPr>
        <w:t>021-01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17</w:t>
      </w:r>
      <w:r>
        <w:rPr>
          <w:rFonts w:hint="eastAsia" w:ascii="Times New Roman" w:hAnsi="Times New Roman" w:eastAsia="仿宋_GB2312"/>
          <w:sz w:val="28"/>
          <w:szCs w:val="28"/>
        </w:rPr>
        <w:t>）是否已入账：是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18</w:t>
      </w:r>
      <w:r>
        <w:rPr>
          <w:rFonts w:hint="eastAsia" w:ascii="Times New Roman" w:hAnsi="Times New Roman" w:eastAsia="仿宋_GB2312"/>
          <w:sz w:val="28"/>
          <w:szCs w:val="28"/>
        </w:rPr>
        <w:t>）是否已付款：是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19</w:t>
      </w:r>
      <w:r>
        <w:rPr>
          <w:rFonts w:hint="eastAsia" w:ascii="Times New Roman" w:hAnsi="Times New Roman" w:eastAsia="仿宋_GB2312"/>
          <w:sz w:val="28"/>
          <w:szCs w:val="28"/>
        </w:rPr>
        <w:t>）银行回单编号：</w:t>
      </w:r>
      <w:r>
        <w:rPr>
          <w:rFonts w:ascii="Times New Roman" w:hAnsi="Times New Roman" w:eastAsia="仿宋_GB2312"/>
          <w:sz w:val="28"/>
          <w:szCs w:val="28"/>
        </w:rPr>
        <w:t>202001319029660024300000000001</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20</w:t>
      </w:r>
      <w:r>
        <w:rPr>
          <w:rFonts w:hint="eastAsia" w:ascii="Times New Roman" w:hAnsi="Times New Roman" w:eastAsia="仿宋_GB2312"/>
          <w:sz w:val="28"/>
          <w:szCs w:val="28"/>
        </w:rPr>
        <w:t>）是否进项税额转出：否</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21</w:t>
      </w:r>
      <w:r>
        <w:rPr>
          <w:rFonts w:hint="eastAsia" w:ascii="Times New Roman" w:hAnsi="Times New Roman" w:eastAsia="仿宋_GB2312"/>
          <w:sz w:val="28"/>
          <w:szCs w:val="28"/>
        </w:rPr>
        <w:t>）进项税额转出金额：</w:t>
      </w:r>
      <w:r>
        <w:rPr>
          <w:rFonts w:ascii="Times New Roman" w:hAnsi="Times New Roman" w:eastAsia="仿宋_GB2312"/>
          <w:sz w:val="28"/>
          <w:szCs w:val="28"/>
        </w:rPr>
        <w:t>0</w:t>
      </w:r>
    </w:p>
    <w:p>
      <w:pPr>
        <w:pStyle w:val="13"/>
        <w:numPr>
          <w:ilvl w:val="0"/>
          <w:numId w:val="5"/>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left="560"/>
        <w:rPr>
          <w:rFonts w:ascii="Times New Roman" w:hAnsi="Times New Roman" w:eastAsia="仿宋_GB2312"/>
          <w:sz w:val="28"/>
          <w:szCs w:val="28"/>
        </w:rPr>
      </w:pPr>
      <w:bookmarkStart w:id="0"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91110000073XXXXXX</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（2）会计主体名称：</w:t>
      </w:r>
      <w:r>
        <w:rPr>
          <w:rFonts w:ascii="Times New Roman" w:hAnsi="Times New Roman" w:eastAsia="仿宋_GB2312"/>
          <w:sz w:val="28"/>
          <w:szCs w:val="28"/>
        </w:rPr>
        <w:t>XYZ</w:t>
      </w:r>
    </w:p>
    <w:bookmarkEnd w:id="0"/>
    <w:p>
      <w:pPr>
        <w:pStyle w:val="13"/>
        <w:numPr>
          <w:ilvl w:val="0"/>
          <w:numId w:val="5"/>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21-01-31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w:t>
      </w:r>
      <w:r>
        <w:rPr>
          <w:rFonts w:ascii="Times New Roman" w:hAnsi="Times New Roman" w:eastAsia="仿宋_GB2312"/>
          <w:sz w:val="28"/>
          <w:szCs w:val="28"/>
        </w:rPr>
        <w:t>2021-01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（4）记账凭证摘要：和分包商结算工程款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）总账科目名称：合同履约成本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）明细科目名称：分包成本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97029.70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）总账科目名称：应交税费-应交增值税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970.30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98000.00</w:t>
      </w:r>
    </w:p>
    <w:p>
      <w:pPr>
        <w:pStyle w:val="13"/>
        <w:numPr>
          <w:ilvl w:val="0"/>
          <w:numId w:val="5"/>
        </w:numPr>
        <w:wordWrap/>
        <w:spacing w:after="0" w:line="560" w:lineRule="exact"/>
        <w:ind w:firstLineChars="0"/>
        <w:rPr>
          <w:b/>
          <w:bCs/>
        </w:rPr>
      </w:pPr>
      <w:r>
        <w:rPr>
          <w:rFonts w:hint="eastAsia"/>
          <w:b/>
          <w:bCs/>
        </w:rPr>
        <w:t>企业所得税管理信息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（1）权责发生制下支出所属期起：</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（2）权责发生制下支出所属期止：</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（3）是否已所得税税前扣除：是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（4）所得税税前扣除年度起：2</w:t>
      </w:r>
      <w:r>
        <w:rPr>
          <w:rFonts w:ascii="Times New Roman" w:hAnsi="Times New Roman" w:eastAsia="仿宋_GB2312"/>
          <w:sz w:val="28"/>
          <w:szCs w:val="28"/>
        </w:rPr>
        <w:t>021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（5）所得税税前扣除年度止：2</w:t>
      </w:r>
      <w:r>
        <w:rPr>
          <w:rFonts w:ascii="Times New Roman" w:hAnsi="Times New Roman" w:eastAsia="仿宋_GB2312"/>
          <w:sz w:val="28"/>
          <w:szCs w:val="28"/>
        </w:rPr>
        <w:t>021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考虑到账务处理中经常出现多借多贷的会计分录，在《增值税电子发票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7"/>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借：合同履约成本-分包成本</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贷：应付账款-工程款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contextRef="c1"&gt;合同履约成本&lt;/inv:NameOfGeneralLedgerSubject&gt;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contextRef="c1"&gt;分包成本&lt;/inv:NameOfSubsidiaryLedgerSubject&gt;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unitRef="u1"&gt;97029.70&lt;/inv:RecordedAmount&gt;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contextRef="c1"&gt;应交税费-应交增值税&lt;/inv:NameOfGeneralLedgerSubject&gt;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contextRef="c1"&gt;进项税额&lt;/inv:NameOfSubsidiaryLedgerSubject&gt;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unitRef="u1"&gt;970.30&lt;/inv:RecordedAmount&gt;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contextRef="c1"&gt;贷方&lt;/inv:DebitOrCredit&gt;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contextRef="c1"&gt;应付账款&lt;/inv:NameOfGeneralLedgerSubject&gt;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contextRef="c1"&gt;工程款&lt;/inv:NameOfSubsidiaryLedgerSubject&gt;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unitRef="u1"&gt;98000.00&lt;/inv:RecordedAmount&gt;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tc>
      </w:tr>
    </w:tbl>
    <w:p>
      <w:pPr>
        <w:pStyle w:val="12"/>
        <w:wordWrap/>
        <w:ind w:firstLine="560"/>
        <w:rPr>
          <w:rFonts w:ascii="Times New Roman" w:hAnsi="Times New Roman"/>
        </w:rPr>
      </w:pPr>
      <w:r>
        <w:rPr>
          <w:rFonts w:hint="eastAsia" w:ascii="Times New Roman" w:hAnsi="Times New Roman"/>
        </w:rPr>
        <w:t>（三）电子凭证增值税发票入账归档要求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企业、单位以电子凭证增值税发票报销、入账、归档的，应当按照《财政部国家档案局关于规范电子会计凭证报销入账归档的通知》（财会〔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号）的相关规定执行。实例文档的传输、存储安全可靠，对任何篡改能够及时发现，作为电子凭证，符合《会计档案管理办法》（财政部 国家档案局令第79号）的相关要求。</w:t>
      </w:r>
    </w:p>
    <w:p>
      <w:pPr>
        <w:pStyle w:val="12"/>
        <w:wordWrap/>
        <w:ind w:firstLine="560"/>
        <w:rPr>
          <w:rFonts w:ascii="Times New Roman" w:hAnsi="Times New Roman"/>
        </w:rPr>
      </w:pPr>
      <w:r>
        <w:rPr>
          <w:rFonts w:hint="eastAsia" w:ascii="Times New Roman" w:hAnsi="Times New Roman"/>
        </w:rPr>
        <w:t>（四）生成增值税电子发票实例文档数据进行归档备查</w:t>
      </w:r>
    </w:p>
    <w:p>
      <w:pPr>
        <w:spacing w:after="0" w:line="360" w:lineRule="auto"/>
        <w:ind w:firstLine="560" w:firstLineChars="200"/>
      </w:pPr>
      <w:r>
        <w:rPr>
          <w:rFonts w:hint="eastAsia" w:ascii="Times New Roman" w:hAnsi="Times New Roman" w:eastAsia="仿宋_GB2312"/>
          <w:sz w:val="28"/>
          <w:szCs w:val="28"/>
        </w:rPr>
        <w:t>会计期间结束后，企业、单位需按照财政部的监管要求，结合XBRL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XBRL工具包生成包含完整电子发票信息（包括电子发票票面信息、发票状态信息、会计主体信息、基础会计信息和企业所得税管理信息）的XBRL格式实例文档，并按照会计档案管理的相关要求进行归档，以备财政部相关监管部门查验。</w:t>
      </w: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Arial Unicode MS">
    <w:altName w:val="Times New Roman"/>
    <w:panose1 w:val="020B0604020202020204"/>
    <w:charset w:val="86"/>
    <w:family w:val="swiss"/>
    <w:pitch w:val="default"/>
    <w:sig w:usb0="00000000" w:usb1="00000000" w:usb2="0000003F" w:usb3="00000000" w:csb0="003F01F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2">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38CC246A"/>
    <w:multiLevelType w:val="singleLevel"/>
    <w:tmpl w:val="38CC246A"/>
    <w:lvl w:ilvl="0" w:tentative="0">
      <w:start w:val="1"/>
      <w:numFmt w:val="chineseCounting"/>
      <w:suff w:val="nothing"/>
      <w:lvlText w:val="（%1）"/>
      <w:lvlJc w:val="left"/>
      <w:rPr>
        <w:rFonts w:hint="eastAsia"/>
      </w:rPr>
    </w:lvl>
  </w:abstractNum>
  <w:abstractNum w:abstractNumId="4">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22D54"/>
    <w:rsid w:val="0002404E"/>
    <w:rsid w:val="00072F9E"/>
    <w:rsid w:val="000A713F"/>
    <w:rsid w:val="000D0B19"/>
    <w:rsid w:val="000E4E58"/>
    <w:rsid w:val="00116108"/>
    <w:rsid w:val="00127907"/>
    <w:rsid w:val="001B69EF"/>
    <w:rsid w:val="001C47DD"/>
    <w:rsid w:val="001D278D"/>
    <w:rsid w:val="001D354D"/>
    <w:rsid w:val="001F59CE"/>
    <w:rsid w:val="002008E5"/>
    <w:rsid w:val="00274AEB"/>
    <w:rsid w:val="00293509"/>
    <w:rsid w:val="002D2F00"/>
    <w:rsid w:val="002D4385"/>
    <w:rsid w:val="002E0B60"/>
    <w:rsid w:val="00332260"/>
    <w:rsid w:val="0033742C"/>
    <w:rsid w:val="0038407C"/>
    <w:rsid w:val="00390944"/>
    <w:rsid w:val="0039120C"/>
    <w:rsid w:val="003B6F00"/>
    <w:rsid w:val="003F1A5D"/>
    <w:rsid w:val="0040563A"/>
    <w:rsid w:val="00417078"/>
    <w:rsid w:val="004205AE"/>
    <w:rsid w:val="00425A9E"/>
    <w:rsid w:val="00474321"/>
    <w:rsid w:val="004C73E3"/>
    <w:rsid w:val="004E644A"/>
    <w:rsid w:val="00502EC7"/>
    <w:rsid w:val="00506904"/>
    <w:rsid w:val="005A2360"/>
    <w:rsid w:val="005B2370"/>
    <w:rsid w:val="0062248F"/>
    <w:rsid w:val="006372F6"/>
    <w:rsid w:val="00650D4F"/>
    <w:rsid w:val="00667BFC"/>
    <w:rsid w:val="00670B21"/>
    <w:rsid w:val="006836B2"/>
    <w:rsid w:val="00702EBE"/>
    <w:rsid w:val="00740A5E"/>
    <w:rsid w:val="00757160"/>
    <w:rsid w:val="007971B1"/>
    <w:rsid w:val="007C670E"/>
    <w:rsid w:val="007D3E5E"/>
    <w:rsid w:val="008644F0"/>
    <w:rsid w:val="00867CDE"/>
    <w:rsid w:val="00882807"/>
    <w:rsid w:val="00885FB6"/>
    <w:rsid w:val="00897173"/>
    <w:rsid w:val="008F31CF"/>
    <w:rsid w:val="008F64AD"/>
    <w:rsid w:val="00912396"/>
    <w:rsid w:val="0092253D"/>
    <w:rsid w:val="00924E00"/>
    <w:rsid w:val="0097790D"/>
    <w:rsid w:val="00990E23"/>
    <w:rsid w:val="009A6981"/>
    <w:rsid w:val="009C59F2"/>
    <w:rsid w:val="009D187A"/>
    <w:rsid w:val="009E6585"/>
    <w:rsid w:val="00A13DCE"/>
    <w:rsid w:val="00A65622"/>
    <w:rsid w:val="00A77EA5"/>
    <w:rsid w:val="00A85A35"/>
    <w:rsid w:val="00A959CB"/>
    <w:rsid w:val="00AF3A3A"/>
    <w:rsid w:val="00B04B69"/>
    <w:rsid w:val="00B05C64"/>
    <w:rsid w:val="00B124BF"/>
    <w:rsid w:val="00B52048"/>
    <w:rsid w:val="00B55A15"/>
    <w:rsid w:val="00B70A99"/>
    <w:rsid w:val="00B87FF3"/>
    <w:rsid w:val="00B911D5"/>
    <w:rsid w:val="00BA154F"/>
    <w:rsid w:val="00BA441A"/>
    <w:rsid w:val="00BC403F"/>
    <w:rsid w:val="00BE2A57"/>
    <w:rsid w:val="00C12A20"/>
    <w:rsid w:val="00C12FAB"/>
    <w:rsid w:val="00C138D0"/>
    <w:rsid w:val="00C21747"/>
    <w:rsid w:val="00C242A9"/>
    <w:rsid w:val="00C33406"/>
    <w:rsid w:val="00C562E0"/>
    <w:rsid w:val="00C820FB"/>
    <w:rsid w:val="00C82B35"/>
    <w:rsid w:val="00CB453B"/>
    <w:rsid w:val="00CB5D26"/>
    <w:rsid w:val="00CB7701"/>
    <w:rsid w:val="00CD7664"/>
    <w:rsid w:val="00CE1C69"/>
    <w:rsid w:val="00D438EA"/>
    <w:rsid w:val="00D50119"/>
    <w:rsid w:val="00D55F63"/>
    <w:rsid w:val="00D830BB"/>
    <w:rsid w:val="00D86E0C"/>
    <w:rsid w:val="00DB6CE6"/>
    <w:rsid w:val="00DD19F6"/>
    <w:rsid w:val="00DE276F"/>
    <w:rsid w:val="00E02618"/>
    <w:rsid w:val="00E079FF"/>
    <w:rsid w:val="00E249DF"/>
    <w:rsid w:val="00E334A2"/>
    <w:rsid w:val="00E35EAF"/>
    <w:rsid w:val="00E64BEA"/>
    <w:rsid w:val="00E77832"/>
    <w:rsid w:val="00EB3829"/>
    <w:rsid w:val="00EB3ADD"/>
    <w:rsid w:val="00EB7992"/>
    <w:rsid w:val="00EC23C0"/>
    <w:rsid w:val="00ED2FCB"/>
    <w:rsid w:val="00ED749A"/>
    <w:rsid w:val="00F37B70"/>
    <w:rsid w:val="00F37C72"/>
    <w:rsid w:val="00F93013"/>
    <w:rsid w:val="00FB3539"/>
    <w:rsid w:val="33CFFA33"/>
    <w:rsid w:val="3CDF8E6D"/>
    <w:rsid w:val="3FBF613C"/>
    <w:rsid w:val="47F6FC4E"/>
    <w:rsid w:val="55FD7DDE"/>
    <w:rsid w:val="77FF1386"/>
    <w:rsid w:val="7DCF891C"/>
    <w:rsid w:val="AB7F5192"/>
    <w:rsid w:val="BDFE9D87"/>
    <w:rsid w:val="BEDEF758"/>
    <w:rsid w:val="C7ABBBA8"/>
    <w:rsid w:val="D7CF997B"/>
    <w:rsid w:val="E79EE22F"/>
    <w:rsid w:val="F7754950"/>
    <w:rsid w:val="FDBF8A08"/>
    <w:rsid w:val="FDEB19FE"/>
    <w:rsid w:val="FFFF197C"/>
    <w:rsid w:val="FFFFC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unhideWhenUsed/>
    <w:qFormat/>
    <w:uiPriority w:val="0"/>
  </w:style>
  <w:style w:type="paragraph" w:styleId="3">
    <w:name w:val="footer"/>
    <w:basedOn w:val="1"/>
    <w:link w:val="18"/>
    <w:qFormat/>
    <w:uiPriority w:val="0"/>
    <w:pPr>
      <w:tabs>
        <w:tab w:val="center" w:pos="4153"/>
        <w:tab w:val="right" w:pos="8306"/>
      </w:tabs>
      <w:snapToGrid w:val="0"/>
      <w:spacing w:line="240" w:lineRule="auto"/>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annotation subject"/>
    <w:basedOn w:val="2"/>
    <w:next w:val="2"/>
    <w:link w:val="20"/>
    <w:qFormat/>
    <w:uiPriority w:val="0"/>
    <w:rPr>
      <w:b/>
      <w:bCs/>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一级标题"/>
    <w:basedOn w:val="11"/>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1">
    <w:name w:val="List Paragraph"/>
    <w:basedOn w:val="1"/>
    <w:qFormat/>
    <w:uiPriority w:val="34"/>
    <w:pPr>
      <w:ind w:firstLine="420" w:firstLineChars="200"/>
    </w:pPr>
  </w:style>
  <w:style w:type="paragraph" w:customStyle="1" w:styleId="12">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3">
    <w:name w:val="正文文档"/>
    <w:basedOn w:val="14"/>
    <w:qFormat/>
    <w:uiPriority w:val="0"/>
    <w:pPr>
      <w:wordWrap w:val="0"/>
      <w:spacing w:afterLines="0"/>
      <w:ind w:firstLine="560"/>
    </w:pPr>
  </w:style>
  <w:style w:type="paragraph" w:customStyle="1" w:styleId="14">
    <w:name w:val="ab"/>
    <w:basedOn w:val="15"/>
    <w:qFormat/>
    <w:uiPriority w:val="0"/>
    <w:pPr>
      <w:spacing w:line="360" w:lineRule="auto"/>
      <w:outlineLvl w:val="9"/>
    </w:pPr>
    <w:rPr>
      <w:rFonts w:ascii="Times New Roman" w:hAnsi="Times New Roman"/>
      <w:sz w:val="28"/>
    </w:rPr>
  </w:style>
  <w:style w:type="paragraph" w:customStyle="1" w:styleId="15">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16">
    <w:name w:val="三级标题"/>
    <w:basedOn w:val="14"/>
    <w:qFormat/>
    <w:uiPriority w:val="0"/>
    <w:pPr>
      <w:wordWrap w:val="0"/>
      <w:spacing w:afterLines="0"/>
      <w:ind w:firstLine="562"/>
      <w:outlineLvl w:val="3"/>
    </w:pPr>
    <w:rPr>
      <w:b/>
    </w:rPr>
  </w:style>
  <w:style w:type="character" w:customStyle="1" w:styleId="17">
    <w:name w:val="页眉 字符"/>
    <w:basedOn w:val="8"/>
    <w:link w:val="4"/>
    <w:qFormat/>
    <w:uiPriority w:val="0"/>
    <w:rPr>
      <w:rFonts w:asciiTheme="minorHAnsi" w:hAnsiTheme="minorHAnsi" w:eastAsiaTheme="minorEastAsia" w:cstheme="minorBidi"/>
      <w:sz w:val="18"/>
      <w:szCs w:val="18"/>
    </w:rPr>
  </w:style>
  <w:style w:type="character" w:customStyle="1" w:styleId="18">
    <w:name w:val="页脚 字符"/>
    <w:basedOn w:val="8"/>
    <w:link w:val="3"/>
    <w:qFormat/>
    <w:uiPriority w:val="0"/>
    <w:rPr>
      <w:rFonts w:asciiTheme="minorHAnsi" w:hAnsiTheme="minorHAnsi" w:eastAsiaTheme="minorEastAsia" w:cstheme="minorBidi"/>
      <w:sz w:val="18"/>
      <w:szCs w:val="18"/>
    </w:rPr>
  </w:style>
  <w:style w:type="character" w:customStyle="1" w:styleId="19">
    <w:name w:val="批注文字 字符"/>
    <w:basedOn w:val="8"/>
    <w:link w:val="2"/>
    <w:qFormat/>
    <w:uiPriority w:val="0"/>
    <w:rPr>
      <w:rFonts w:asciiTheme="minorHAnsi" w:hAnsiTheme="minorHAnsi" w:eastAsiaTheme="minorEastAsia" w:cstheme="minorBidi"/>
      <w:sz w:val="22"/>
      <w:szCs w:val="22"/>
    </w:rPr>
  </w:style>
  <w:style w:type="character" w:customStyle="1" w:styleId="20">
    <w:name w:val="批注主题 字符"/>
    <w:basedOn w:val="19"/>
    <w:link w:val="5"/>
    <w:qFormat/>
    <w:uiPriority w:val="0"/>
    <w:rPr>
      <w:rFonts w:asciiTheme="minorHAnsi" w:hAnsiTheme="minorHAnsi" w:eastAsiaTheme="minorEastAsia" w:cstheme="minorBidi"/>
      <w:b/>
      <w:bCs/>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2233</Words>
  <Characters>12730</Characters>
  <Lines>106</Lines>
  <Paragraphs>29</Paragraphs>
  <TotalTime>1</TotalTime>
  <ScaleCrop>false</ScaleCrop>
  <LinksUpToDate>false</LinksUpToDate>
  <CharactersWithSpaces>14934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2023-02-17T15:05:00Z</dcterms:created>
  <dc:creator>Admin</dc:creator>
  <cp:lastModifiedBy>Admin</cp:lastModifiedBy>
  <dcterms:modified xsi:type="dcterms:W3CDTF">2023-05-12T20:28:25Z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