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223C">
      <w:pPr>
        <w:jc w:val="center"/>
        <w:rPr>
          <w:rStyle w:val="7"/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eastAsia="zh-CN"/>
        </w:rPr>
        <w:t>南通市财政局小型机及存储运维服务项目</w:t>
      </w:r>
      <w:r>
        <w:rPr>
          <w:rStyle w:val="7"/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需求</w:t>
      </w:r>
    </w:p>
    <w:p w14:paraId="7B4D2EBE">
      <w:pPr>
        <w:adjustRightInd w:val="0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需求清单</w:t>
      </w:r>
    </w:p>
    <w:p w14:paraId="1F48DD18">
      <w:pPr>
        <w:adjustRightInd w:val="0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1.运维服务软硬件清单</w:t>
      </w:r>
    </w:p>
    <w:tbl>
      <w:tblPr>
        <w:tblStyle w:val="5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37"/>
        <w:gridCol w:w="4792"/>
        <w:gridCol w:w="1003"/>
      </w:tblGrid>
      <w:tr w14:paraId="26DA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524BD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ED9CF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   称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D62A7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规格型号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3A086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</w:tc>
      </w:tr>
      <w:tr w14:paraId="4453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C0183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DD261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IBM小型机保修服务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472C3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IBM P750小型机 16核 CPU, 64G 内存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C2736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2台</w:t>
            </w:r>
          </w:p>
        </w:tc>
      </w:tr>
      <w:tr w14:paraId="6AF2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AA403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2E7AB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磁盘阵列保修服务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30777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EMC VNX5300.15块600GB 15K RPM 6Gbps SAS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BEA13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1台</w:t>
            </w:r>
          </w:p>
        </w:tc>
      </w:tr>
      <w:tr w14:paraId="4A42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90B9A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1980C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交换机保修服务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C19F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EMC DS-300B/8GB 24口光纤交换机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34C5D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2台</w:t>
            </w:r>
          </w:p>
        </w:tc>
      </w:tr>
      <w:tr w14:paraId="2278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F2332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6F9ED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软件系统维护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CE09C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AIX、HACMP集群软件；底层软件、微码软件、管理控制软件、存储数据分配管理软件等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3C363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1套</w:t>
            </w:r>
          </w:p>
        </w:tc>
      </w:tr>
      <w:tr w14:paraId="48A2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2B12A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A6DEF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数据库维护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877D7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ORACLE 10G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025DA">
            <w:pPr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1套</w:t>
            </w:r>
          </w:p>
        </w:tc>
      </w:tr>
    </w:tbl>
    <w:p w14:paraId="7E3B7603">
      <w:pPr>
        <w:adjustRightInd w:val="0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2.服务级别：</w:t>
      </w:r>
    </w:p>
    <w:p w14:paraId="76D32A99">
      <w:pPr>
        <w:adjustRightInd w:val="0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提供全年每周7天、每天24小时的全天候到场服务和每天24小时热线电话服务，节假日照常工作，到场时间小于4小时。</w:t>
      </w:r>
    </w:p>
    <w:p w14:paraId="4BAF424F">
      <w:pPr>
        <w:adjustRightInd w:val="0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二、服务要求</w:t>
      </w:r>
    </w:p>
    <w:p w14:paraId="7409754B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须根据自己公司的服务经验和服务实力编写技术方案和技术文档，维护服务方案必须包含但不限于如下技术要求。</w:t>
      </w:r>
    </w:p>
    <w:p w14:paraId="7290D555">
      <w:pPr>
        <w:adjustRightInd w:val="0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1．维护服务原则</w:t>
      </w:r>
    </w:p>
    <w:p w14:paraId="2C8D112D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确保南通市财政局信息系统的安全和正常运行；</w:t>
      </w:r>
    </w:p>
    <w:p w14:paraId="0D853A68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维护保修设备范围包括：信息系统主机系统、存储系统、数据库系统以及与主机系统相关的软硬件接口、备份软件和容灾软件等；</w:t>
      </w:r>
    </w:p>
    <w:p w14:paraId="23B2C37C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支持业务系统正常运行；</w:t>
      </w:r>
    </w:p>
    <w:p w14:paraId="2EFF1B5B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对维护范围内的设备的所有损坏部件，包含硬件和软件4小时内免费更换；要求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有充足的备件（尤其是CPU、内存、电源、电池、风扇、硬盘、模块、引擎、整机等），当机器发生故障或机件损坏时，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保证能及时提供现场更换服务，并且是免费的。</w:t>
      </w:r>
    </w:p>
    <w:p w14:paraId="01795BAD">
      <w:pPr>
        <w:adjustRightInd w:val="0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2．系统维护服务主要内容</w:t>
      </w:r>
    </w:p>
    <w:p w14:paraId="3EAFC93F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备件保修和技术服务</w:t>
      </w:r>
    </w:p>
    <w:p w14:paraId="3626445D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如果发生硬件系统宕机故障，在接到报修电话后10分钟内响应，并以最快方式赶至现场提供维修服务；</w:t>
      </w:r>
    </w:p>
    <w:p w14:paraId="44429E40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如果发生硬件系统非宕机故障，将在接到报修电话后半小时内响应，并根据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要求和实际情况到现场提供维护服务；</w:t>
      </w:r>
    </w:p>
    <w:p w14:paraId="78852725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维修及换件服务：4小时内到达现场提供维修及换件服务。</w:t>
      </w:r>
    </w:p>
    <w:p w14:paraId="6480BC2B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预防性维护服务</w:t>
      </w:r>
    </w:p>
    <w:p w14:paraId="3207FD82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为使机器正常运行，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将提供现场预防性维护服务。</w:t>
      </w:r>
    </w:p>
    <w:p w14:paraId="18F77DF4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指派专责服务人员对系统依照服务方案进行维护；</w:t>
      </w:r>
    </w:p>
    <w:p w14:paraId="05FD7C98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定期对机器进行例行检查、做预防性维护保养，并提交服务报告；</w:t>
      </w:r>
    </w:p>
    <w:p w14:paraId="447737AE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为保证服务质量，成立服务小组专责工程师支持。</w:t>
      </w:r>
    </w:p>
    <w:p w14:paraId="5D85C4C7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（3）电话技术支持服务</w:t>
      </w:r>
    </w:p>
    <w:p w14:paraId="253FA43A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应将通过电话向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提供下列技术支持：</w:t>
      </w:r>
    </w:p>
    <w:p w14:paraId="260BE5C6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分析判断或解答软硬件报障问题；</w:t>
      </w:r>
    </w:p>
    <w:p w14:paraId="30093AE9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指导或解答有关系统软件日常运作和安装问题。</w:t>
      </w:r>
    </w:p>
    <w:p w14:paraId="7E685F81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（4）到场服务</w:t>
      </w:r>
    </w:p>
    <w:p w14:paraId="06AE5360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对于上述电话技术支持和现场工程师服务无法解决或解答的问题，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将提供技术专家团队到场服务。</w:t>
      </w:r>
    </w:p>
    <w:p w14:paraId="445A29D9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（5）升级与修复服务</w:t>
      </w:r>
    </w:p>
    <w:p w14:paraId="67BF1345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提出的升级计划做准备，并提供建议。</w:t>
      </w:r>
    </w:p>
    <w:p w14:paraId="0FBE019F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安装新版本的IBM AIX。</w:t>
      </w:r>
    </w:p>
    <w:p w14:paraId="3F70D793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在新版本IBM AIX上调试系统配置。</w:t>
      </w:r>
    </w:p>
    <w:p w14:paraId="2130D954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D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对已安装的新版本IBM AIX、HACMP双机软件进行测试。</w:t>
      </w:r>
    </w:p>
    <w:p w14:paraId="46BCDA32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E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对相关存储软件检查安装修复，RAID硬盘组损坏的重建。</w:t>
      </w:r>
    </w:p>
    <w:p w14:paraId="0176B6AC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（6）对服务器平台上系统软件的维护</w:t>
      </w:r>
    </w:p>
    <w:p w14:paraId="2B15F511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应协助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进行软件产品的基本的日常维护和管理。</w:t>
      </w:r>
    </w:p>
    <w:p w14:paraId="288926E3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协助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对所报告的问题进行定义及指导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相关技术人员完成解决问题所需要的相关信息的收集工作。</w:t>
      </w:r>
    </w:p>
    <w:p w14:paraId="0EE9A5C1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应帮助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对所报告的问题进行问题根源的分析和诊断。</w:t>
      </w:r>
    </w:p>
    <w:p w14:paraId="008AA727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D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对于软件本身的问题，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应根据需要向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免费提供相关的修正性软件。</w:t>
      </w:r>
    </w:p>
    <w:p w14:paraId="069CCD43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E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所报告的有关受支持软件产品的问题，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应根据需要使用标准系统进行记录和跟踪，并根据实际情形对问题的严重程度和优先级别进行设定和更新。</w:t>
      </w:r>
    </w:p>
    <w:p w14:paraId="4FA6CD56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F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在应用软件安装完毕后应进行基本系统测试。</w:t>
      </w:r>
    </w:p>
    <w:p w14:paraId="289BBD9C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（7）数据备份</w:t>
      </w:r>
    </w:p>
    <w:p w14:paraId="0AA4FFC6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应对数据备份经常校验，检查备份策略和备份软件的设置是否正确，备份出来的数据是否可用。</w:t>
      </w:r>
    </w:p>
    <w:p w14:paraId="14975E5A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容灾演练</w:t>
      </w:r>
    </w:p>
    <w:p w14:paraId="69F0B53A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应对系统完整性经常查看验证，对数据的一致性经常性比较，进行数据灾难恢复演练，负责组织应用软件商共同实施演练。</w:t>
      </w:r>
    </w:p>
    <w:p w14:paraId="5F72A079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（9）系统优化和数据恢复</w:t>
      </w:r>
    </w:p>
    <w:p w14:paraId="2CE8ABAE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统优化：系统服务确保硬件系统、操作系统、数据库与中间件的运行，需要经常检查系统的运行状况，并对系统、weblogic中间件参数、ORACLE参数进行优化配置，优化服务包含了应用软件开发商配合支持的如索引重建，表空间的划分与拆分，SQL语句的优化等</w:t>
      </w:r>
      <w:bookmarkStart w:id="0" w:name="OLE_LINK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需保证系统性能处于优良运行状态</w:t>
      </w:r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，如果系统优化后出现</w:t>
      </w:r>
      <w:bookmarkEnd w:id="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数据库业务系统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仍运行缓慢、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无法使用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或数据丢失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则按重大事故处理。</w:t>
      </w:r>
      <w:bookmarkEnd w:id="0"/>
    </w:p>
    <w:p w14:paraId="05787363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（10）培训服务</w:t>
      </w:r>
    </w:p>
    <w:p w14:paraId="1B56E8C3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每年提供主机与存储2人*5天原厂标准培训服务，以提高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系统管理员技术能力，包含所有费用。</w:t>
      </w:r>
    </w:p>
    <w:p w14:paraId="3BE25BB0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（11）服务时间</w:t>
      </w:r>
    </w:p>
    <w:p w14:paraId="77F67B08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提供全年每周7天、每天24小时的全天候到场服务和每天24小时热线电话服务，节假日照常工作，到场时间小于4小时。</w:t>
      </w:r>
    </w:p>
    <w:p w14:paraId="5E2C43A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3.数据安全及数据库维护</w:t>
      </w:r>
    </w:p>
    <w:p w14:paraId="63B7E14C">
      <w:pPr>
        <w:adjustRightInd w:val="0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（1）数据库性能软件分析工具</w:t>
      </w:r>
    </w:p>
    <w:p w14:paraId="64428FA3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供应商具备自动化性能监控软件工具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，当系统运行缓慢，必要时能利用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自动化性能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软件工具采集系统运行时的各项监控数据，分析系统主要的数据库性能瓶颈，分析应用软件及数据库等各方面资源的使用情况，确定系统性能现状及性能调整的目标，定位系统中出现的性能瓶颈，测试验证针对性能瓶颈进行的改进方案，产生基于ORACLE最佳应用准则的性能调整建议报告，根据报告对性能调整包括内存调优Memory Tuning、磁盘存取调优Disk I/O Tuning、SQL调优等数据库系统性能优化，工程师服务时能使用专业工具分析数据库的性能情况。数据库性能分析软件工具需要具备如下表功能：</w:t>
      </w:r>
    </w:p>
    <w:tbl>
      <w:tblPr>
        <w:tblStyle w:val="5"/>
        <w:tblW w:w="8923" w:type="dxa"/>
        <w:tblInd w:w="10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7646"/>
      </w:tblGrid>
      <w:tr w14:paraId="7B97EA1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98B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功能</w:t>
            </w:r>
          </w:p>
        </w:tc>
        <w:tc>
          <w:tcPr>
            <w:tcW w:w="7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F85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要求</w:t>
            </w:r>
          </w:p>
        </w:tc>
      </w:tr>
      <w:tr w14:paraId="62B2E1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ED4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实时监视</w:t>
            </w:r>
          </w:p>
        </w:tc>
        <w:tc>
          <w:tcPr>
            <w:tcW w:w="7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7005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1.监视数据库运行状况，从Oracle共享内存中直接收集，不使用Oracle资源，即便数据库挂起hang住时，也可以持续收集数据。</w:t>
            </w:r>
          </w:p>
          <w:p w14:paraId="62ACBA2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2.将两个以上的实例在一个整合画面上实时监视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60137262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3.数据库系统发生问题时，提供原因的会话和追踪SQL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FD3EF5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4.实时监视时提供的信息量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160A889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5.以会话为单位，联动监视现行SQL、数据库资源使用量、资源待机量、CPU使用量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096EDD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6E59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性能实时分析、和事后分析</w:t>
            </w:r>
          </w:p>
        </w:tc>
        <w:tc>
          <w:tcPr>
            <w:tcW w:w="7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9E5E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1.对整个系统的执行状态的记录可以重现，查看过去特定时刻数据库状态的功能，如资源使用量、待机量、锁(Lock)发生信息、参数，记录此时活动的所有会话相关内容。</w:t>
            </w:r>
          </w:p>
          <w:p w14:paraId="7E0C54B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2.特定会话的执行状态的记录和重现功能。</w:t>
            </w:r>
          </w:p>
          <w:p w14:paraId="45BC2C1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3.各特定时间带超负荷SQL的筛选和记录功能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79FDDC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C39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SQL调优</w:t>
            </w:r>
          </w:p>
        </w:tc>
        <w:tc>
          <w:tcPr>
            <w:tcW w:w="7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B50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1.Trace分析功能,将执行SQL中所发生的Trace，可以按SQL、Curso等多角度分析。等级为12时，可分析binding变量值和等待的发生。DB服务器内的Trace，可通过 FTP或UTL_FILE包传送接受。</w:t>
            </w:r>
          </w:p>
          <w:p w14:paraId="0603E614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2.查看SQL计划的及对象的功能。对一个SQL可以执行或查看计划，而计划以树形式表示。</w:t>
            </w:r>
          </w:p>
          <w:p w14:paraId="6F085B00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3.调优后的结果分析。对SQL调优后执行时，各执行中都启动Trace，可比较各执行的Plan , STAT, WAIT, CPU time, elapse time等。</w:t>
            </w:r>
          </w:p>
        </w:tc>
      </w:tr>
    </w:tbl>
    <w:p w14:paraId="4DAA03C1">
      <w:pPr>
        <w:adjustRightInd w:val="0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（2）Oracle数据库维护主要服务规范</w:t>
      </w:r>
    </w:p>
    <w:tbl>
      <w:tblPr>
        <w:tblStyle w:val="5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2"/>
        <w:gridCol w:w="7166"/>
      </w:tblGrid>
      <w:tr w14:paraId="20DF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2"/>
            <w:shd w:val="clear" w:color="auto" w:fill="F2F2F2"/>
            <w:noWrap/>
          </w:tcPr>
          <w:p w14:paraId="57E9CCE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功能要求</w:t>
            </w:r>
          </w:p>
        </w:tc>
        <w:tc>
          <w:tcPr>
            <w:tcW w:w="7166" w:type="dxa"/>
            <w:shd w:val="clear" w:color="auto" w:fill="F2F2F2"/>
            <w:noWrap/>
          </w:tcPr>
          <w:p w14:paraId="184E2D8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技术规格</w:t>
            </w:r>
          </w:p>
        </w:tc>
      </w:tr>
      <w:tr w14:paraId="2E2F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/>
            <w:vAlign w:val="center"/>
          </w:tcPr>
          <w:p w14:paraId="383D339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服务方式与</w:t>
            </w:r>
          </w:p>
          <w:p w14:paraId="43C46F7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服务要求</w:t>
            </w:r>
          </w:p>
        </w:tc>
        <w:tc>
          <w:tcPr>
            <w:tcW w:w="1672" w:type="dxa"/>
            <w:noWrap/>
            <w:vAlign w:val="center"/>
          </w:tcPr>
          <w:p w14:paraId="3BDFFC1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核心服务级别</w:t>
            </w:r>
          </w:p>
        </w:tc>
        <w:tc>
          <w:tcPr>
            <w:tcW w:w="7166" w:type="dxa"/>
            <w:noWrap/>
          </w:tcPr>
          <w:p w14:paraId="23D023B0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包含提供服务商维护技术服务及提供原厂技术专家支持服务，不低于7*24服务要求。（7*24：全天候提供技术支持服务，紧急故障2小时内到达现场）。</w:t>
            </w:r>
          </w:p>
        </w:tc>
      </w:tr>
      <w:tr w14:paraId="3047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42322717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2DC83837">
            <w:pPr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现场服务</w:t>
            </w:r>
          </w:p>
        </w:tc>
        <w:tc>
          <w:tcPr>
            <w:tcW w:w="7166" w:type="dxa"/>
            <w:noWrap/>
          </w:tcPr>
          <w:p w14:paraId="2420A64C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原厂OCM高级认证工程师2名，8人天/年到场服务。</w:t>
            </w:r>
          </w:p>
          <w:p w14:paraId="0CCA7606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对于非紧急响应的问题：双方确认日期后，派出工程师提供现场支持。</w:t>
            </w:r>
          </w:p>
          <w:p w14:paraId="30BFCA8E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对于影响业务运行的需要紧急响应的情况，承诺2小时内到达现场。</w:t>
            </w:r>
          </w:p>
        </w:tc>
      </w:tr>
      <w:tr w14:paraId="681C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1632FEC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73711D9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远程支持服务</w:t>
            </w:r>
          </w:p>
        </w:tc>
        <w:tc>
          <w:tcPr>
            <w:tcW w:w="7166" w:type="dxa"/>
            <w:noWrap/>
          </w:tcPr>
          <w:p w14:paraId="1E212D6C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7*24小时电话、邮件及远程登录技术支持服务。</w:t>
            </w:r>
          </w:p>
        </w:tc>
      </w:tr>
      <w:tr w14:paraId="02760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13BF08F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29F7979F">
            <w:pPr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培训服务</w:t>
            </w:r>
          </w:p>
        </w:tc>
        <w:tc>
          <w:tcPr>
            <w:tcW w:w="7166" w:type="dxa"/>
            <w:noWrap/>
          </w:tcPr>
          <w:p w14:paraId="77733005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提供1次OCP技术培训服务，培训时间为5天，培训内容可根据实际需求定制。</w:t>
            </w:r>
          </w:p>
        </w:tc>
      </w:tr>
      <w:tr w14:paraId="18BA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2478671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6666103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应急响应服务</w:t>
            </w:r>
          </w:p>
        </w:tc>
        <w:tc>
          <w:tcPr>
            <w:tcW w:w="7166" w:type="dxa"/>
            <w:noWrap/>
          </w:tcPr>
          <w:p w14:paraId="75211347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至少提供10天的现场技术支持服务和紧急故障处理服务。</w:t>
            </w:r>
          </w:p>
        </w:tc>
      </w:tr>
      <w:tr w14:paraId="6ECD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restart"/>
            <w:noWrap/>
            <w:vAlign w:val="center"/>
          </w:tcPr>
          <w:p w14:paraId="253100A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现场服务</w:t>
            </w:r>
          </w:p>
          <w:p w14:paraId="111AB79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  <w:t>主要内容</w:t>
            </w:r>
          </w:p>
        </w:tc>
        <w:tc>
          <w:tcPr>
            <w:tcW w:w="1672" w:type="dxa"/>
            <w:noWrap/>
            <w:vAlign w:val="center"/>
          </w:tcPr>
          <w:p w14:paraId="7B25D1A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初次健康检查服务</w:t>
            </w:r>
          </w:p>
        </w:tc>
        <w:tc>
          <w:tcPr>
            <w:tcW w:w="7166" w:type="dxa"/>
            <w:noWrap/>
          </w:tcPr>
          <w:p w14:paraId="4A0B9181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包括对项目所使用的oracle数据库和中间件系统建立系统档案（包括硬件平台，操作系统，应用系统，部署架构，数据库，网络环境等）。</w:t>
            </w:r>
          </w:p>
          <w:p w14:paraId="46DF0754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客户人员档案（包括技术联系人和业务联系人的档案），进行初次的系统检查和建议。</w:t>
            </w:r>
          </w:p>
          <w:p w14:paraId="4307C8DD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收集系统信息，检查各类系统日志，分析潜在风险，并作保存。</w:t>
            </w:r>
          </w:p>
          <w:p w14:paraId="140DE840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建立系统现有情况档案，用于跟踪当前系统存在问题(包括Oracle数据库和中间件、应用异常、配置等)的解决情况。</w:t>
            </w:r>
          </w:p>
        </w:tc>
      </w:tr>
      <w:tr w14:paraId="6F21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shd w:val="clear" w:color="auto" w:fill="auto"/>
            <w:noWrap/>
            <w:vAlign w:val="center"/>
          </w:tcPr>
          <w:p w14:paraId="2173712A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shd w:val="clear" w:color="auto" w:fill="auto"/>
            <w:noWrap/>
            <w:vAlign w:val="center"/>
          </w:tcPr>
          <w:p w14:paraId="160D8E7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健康巡检服务</w:t>
            </w:r>
          </w:p>
        </w:tc>
        <w:tc>
          <w:tcPr>
            <w:tcW w:w="7166" w:type="dxa"/>
            <w:shd w:val="clear" w:color="auto" w:fill="FFFFFF"/>
            <w:noWrap/>
          </w:tcPr>
          <w:p w14:paraId="4182C4A8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定期对系统数据库及中间件产品进行一次健康检查，并提供健康检查报告，双方签字确认。具体服务要求包括：</w:t>
            </w:r>
          </w:p>
          <w:p w14:paraId="7482D23E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检查数据库连接状态，分析操作系统瓶颈及运行状态。</w:t>
            </w:r>
          </w:p>
          <w:p w14:paraId="6FDC4BF9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CPU分析，I/O及磁盘使用分析，内存使用状况，ASM及表空间使用情况，CACHE状态等,并提供报告。</w:t>
            </w:r>
          </w:p>
          <w:p w14:paraId="7F0D6B9F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检查并记录现有系统的配置和运行情况。</w:t>
            </w:r>
          </w:p>
          <w:p w14:paraId="523F0447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检查当前系统的操作系统资源的使用情况。</w:t>
            </w:r>
          </w:p>
          <w:p w14:paraId="3FBE2C3C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检查当前Oracle数据库和中间件资源（如内存\服务\UBB）的使用情况。</w:t>
            </w:r>
          </w:p>
          <w:p w14:paraId="0423F826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检查Oracle数据库和中间件的安全配置情况。</w:t>
            </w:r>
          </w:p>
          <w:p w14:paraId="61143E0E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检查应用运行情况，包括运行、配置、出错跟踪及解决方案。</w:t>
            </w:r>
          </w:p>
          <w:p w14:paraId="228368D3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检查服务配置部署及使用情况（如UBB/服务等）。</w:t>
            </w:r>
          </w:p>
          <w:p w14:paraId="2B0F6479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的辅助下完成Oracle数据库和中间件的性能调整。</w:t>
            </w:r>
          </w:p>
          <w:p w14:paraId="63D7FCCC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解决一段时间内系统发生的问题。</w:t>
            </w:r>
          </w:p>
          <w:p w14:paraId="6ACE9C54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提交系统检查及分析文档。</w:t>
            </w:r>
          </w:p>
          <w:p w14:paraId="6DD1F530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操作系统简要分析，包括CPU使用，磁盘I/O，文件系统使用，内存，CACHE，及交换区使用情况。</w:t>
            </w:r>
          </w:p>
        </w:tc>
      </w:tr>
      <w:tr w14:paraId="16B8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019AB16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4A134B4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性能分析报告</w:t>
            </w:r>
          </w:p>
        </w:tc>
        <w:tc>
          <w:tcPr>
            <w:tcW w:w="7166" w:type="dxa"/>
            <w:noWrap/>
          </w:tcPr>
          <w:p w14:paraId="1B185531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每季度进行一次性能分析，报告内容分为三个部分：Oracle数据库和中间件状态、操作系统使用状态、简约分析和建议。并附有全部的性能报表和跟踪文件，并提供必要的截屏图片。</w:t>
            </w:r>
          </w:p>
        </w:tc>
      </w:tr>
      <w:tr w14:paraId="43B0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1FB7AEB6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28C838C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巡检任务的</w:t>
            </w:r>
          </w:p>
          <w:p w14:paraId="46B118D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扩展</w:t>
            </w:r>
          </w:p>
        </w:tc>
        <w:tc>
          <w:tcPr>
            <w:tcW w:w="7166" w:type="dxa"/>
            <w:noWrap/>
          </w:tcPr>
          <w:p w14:paraId="78986849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如果巡检中发现问题，并且经双方确认的确需要加以解决。则双方就此问题进行技术协调确定调整日期。</w:t>
            </w:r>
          </w:p>
        </w:tc>
      </w:tr>
      <w:tr w14:paraId="01B0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3C6C3D6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6AB989D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应急服务或</w:t>
            </w:r>
          </w:p>
          <w:p w14:paraId="4A2AB8C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系统会诊</w:t>
            </w:r>
          </w:p>
        </w:tc>
        <w:tc>
          <w:tcPr>
            <w:tcW w:w="7166" w:type="dxa"/>
            <w:noWrap/>
          </w:tcPr>
          <w:p w14:paraId="41527BED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进行系统全面会诊，要求工程师到现场。</w:t>
            </w:r>
          </w:p>
          <w:p w14:paraId="5406475C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系统性能出现明显下降，要求进行Oracle数据库和中间件性能调整。</w:t>
            </w:r>
          </w:p>
          <w:p w14:paraId="463D54FA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系统迁移或升级需要现场协助（比如硬件更换硬盘，CPU等非Oracle数据库和中间件自身原因需要工程师到现场的情况）。</w:t>
            </w:r>
          </w:p>
        </w:tc>
      </w:tr>
      <w:tr w14:paraId="428D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2928A40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290A714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项目协助</w:t>
            </w:r>
          </w:p>
        </w:tc>
        <w:tc>
          <w:tcPr>
            <w:tcW w:w="7166" w:type="dxa"/>
            <w:noWrap/>
          </w:tcPr>
          <w:p w14:paraId="31F9148B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当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有新的应用系统或者测试系统需要部署到Oracle数据库和中间件并投入使用，向采购人和第三方服务工程师提供咨询、规划乃至现场安装服务。</w:t>
            </w:r>
          </w:p>
          <w:p w14:paraId="1A938F76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对合同所包含的基于Oracle数据库和中间件的应用系统进行改造，或者应用系统有新的功能模块加入，向采购人和第三方工程师现场进行服务。</w:t>
            </w:r>
          </w:p>
        </w:tc>
      </w:tr>
      <w:tr w14:paraId="4241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01028F4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336638B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性能调优</w:t>
            </w:r>
          </w:p>
        </w:tc>
        <w:tc>
          <w:tcPr>
            <w:tcW w:w="7166" w:type="dxa"/>
            <w:noWrap/>
          </w:tcPr>
          <w:p w14:paraId="35706C0D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针对巡检中或运行过程中发现的Oracle数据库和中间件性能下降的问题，依据分析报告进行性能调整，力争使其性能得到提升。</w:t>
            </w:r>
          </w:p>
          <w:p w14:paraId="5292578D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将所发现的问题进行详细说明。</w:t>
            </w:r>
          </w:p>
          <w:p w14:paraId="052C500B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提交性能调整的方案并进行详细说明。</w:t>
            </w:r>
          </w:p>
          <w:p w14:paraId="68B2DCDE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优化服务费包含了应用软件开发商配合支持的如索引重建，表空间的划分与拆分，SQL语句的优化等。</w:t>
            </w:r>
          </w:p>
        </w:tc>
      </w:tr>
      <w:tr w14:paraId="1D3FD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12C0505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07255F3E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压力测试服务</w:t>
            </w:r>
          </w:p>
        </w:tc>
        <w:tc>
          <w:tcPr>
            <w:tcW w:w="7166" w:type="dxa"/>
            <w:noWrap/>
          </w:tcPr>
          <w:p w14:paraId="7D832F48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和应用开发商需要进行压力测试，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须提供相应Oracle数据库和中间件平台的配置和调试支持工作。</w:t>
            </w:r>
          </w:p>
        </w:tc>
      </w:tr>
      <w:tr w14:paraId="040C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2C7C7F0F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54667B89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迁移实施支持</w:t>
            </w:r>
          </w:p>
        </w:tc>
        <w:tc>
          <w:tcPr>
            <w:tcW w:w="7166" w:type="dxa"/>
            <w:noWrap/>
          </w:tcPr>
          <w:p w14:paraId="73374736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需要从其他平台迁移到Oracle数据库和中间件平台，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须提供Oracle数据库和中间件平台相应服务，如Oracle数据库和中间件安装，配置和调试等。</w:t>
            </w:r>
          </w:p>
        </w:tc>
      </w:tr>
      <w:tr w14:paraId="78AFC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3EFDC33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4AD467D2">
            <w:pPr>
              <w:snapToGrid w:val="0"/>
              <w:spacing w:line="360" w:lineRule="auto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数据备份</w:t>
            </w:r>
          </w:p>
        </w:tc>
        <w:tc>
          <w:tcPr>
            <w:tcW w:w="7166" w:type="dxa"/>
            <w:noWrap/>
          </w:tcPr>
          <w:p w14:paraId="46780C01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应对数据备份经常校验，检查备份策略和备份软件的设置是否正确，备份出来的数据是否可用。进行数据恢复测试，负责协调应用软件开发商共同测试，所需费用已包含，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不再另行支付。</w:t>
            </w:r>
          </w:p>
        </w:tc>
      </w:tr>
      <w:tr w14:paraId="6058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3BF13C30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0FCD5804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数据灾难处理</w:t>
            </w:r>
          </w:p>
        </w:tc>
        <w:tc>
          <w:tcPr>
            <w:tcW w:w="7166" w:type="dxa"/>
            <w:noWrap/>
          </w:tcPr>
          <w:p w14:paraId="1493CC3F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必须具备处理数据灾难恢复的能力，能修复UNIX系统平台下的Oracle数据软件、Weblogic中间件或底层硬件引起的各种数据灾难问题，确保数据不能丢失，一旦有灾难问题出现，能使用专业的ORACLE数据库专业数据修复工具尽可能恢复数据，必要时须提供原厂技术服务7*24小时的在线登录服务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将经常进行测试查验。</w:t>
            </w:r>
          </w:p>
        </w:tc>
      </w:tr>
      <w:tr w14:paraId="3ABC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1A6C094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740379B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产品安装升级</w:t>
            </w:r>
          </w:p>
        </w:tc>
        <w:tc>
          <w:tcPr>
            <w:tcW w:w="7166" w:type="dxa"/>
            <w:noWrap/>
          </w:tcPr>
          <w:p w14:paraId="0FFA6ECD">
            <w:pPr>
              <w:snapToGrid w:val="0"/>
              <w:spacing w:line="36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对于准备新部署的Oracle数据库和中间件系统提供部署架构、现场安装及调试支持。</w:t>
            </w:r>
          </w:p>
          <w:p w14:paraId="4F45A6A6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跟踪与Oracle数据库和中间件有关的产品信息，并结合当前应用的实际，提出对ORACLE数据库和中间件软件的漏洞修复、补丁更新的建议和实施方案，经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批准后进行漏洞修复、补丁更新。</w:t>
            </w:r>
          </w:p>
        </w:tc>
      </w:tr>
      <w:tr w14:paraId="0AA9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5" w:type="dxa"/>
            <w:vMerge w:val="continue"/>
            <w:noWrap/>
            <w:vAlign w:val="center"/>
          </w:tcPr>
          <w:p w14:paraId="773229E2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72" w:type="dxa"/>
            <w:noWrap/>
            <w:vAlign w:val="center"/>
          </w:tcPr>
          <w:p w14:paraId="2C7C6BAC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技术资料建档</w:t>
            </w:r>
          </w:p>
        </w:tc>
        <w:tc>
          <w:tcPr>
            <w:tcW w:w="7166" w:type="dxa"/>
            <w:noWrap/>
          </w:tcPr>
          <w:p w14:paraId="27B9CC4F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供应商所提供的每一次服务必须提交服务文档和技术资料，每一次服务的文档均必须由双方确认并加盖公章，文档内容应完备、清楚，具有延续性。</w:t>
            </w:r>
          </w:p>
        </w:tc>
      </w:tr>
      <w:tr w14:paraId="290B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5" w:type="dxa"/>
            <w:noWrap/>
            <w:vAlign w:val="center"/>
          </w:tcPr>
          <w:p w14:paraId="04815C58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考核</w:t>
            </w:r>
          </w:p>
        </w:tc>
        <w:tc>
          <w:tcPr>
            <w:tcW w:w="1672" w:type="dxa"/>
            <w:noWrap/>
            <w:vAlign w:val="center"/>
          </w:tcPr>
          <w:p w14:paraId="6EBDB37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服务考核</w:t>
            </w:r>
          </w:p>
        </w:tc>
        <w:tc>
          <w:tcPr>
            <w:tcW w:w="7166" w:type="dxa"/>
            <w:noWrap/>
          </w:tcPr>
          <w:p w14:paraId="7A8A9BFF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每个季度都进行考核，对巡检、电话支持、服务报告等一般服务不及时的，每次扣5分；对重大故障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不及时或需要时没及时得到原厂技术支持的，每次扣20分。一票否决项：补丁分析及安装少做任何一次，系统优化调整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拒绝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或优化没有达到用户要求的任何一次，采购人认定的其他影响数据库运行的严重违规行为等。考核得分小于60分或产生一票否决的，将不能获得相应服务费用。</w:t>
            </w:r>
          </w:p>
        </w:tc>
      </w:tr>
      <w:tr w14:paraId="577B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5" w:type="dxa"/>
            <w:noWrap/>
            <w:vAlign w:val="center"/>
          </w:tcPr>
          <w:p w14:paraId="32F1D225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能力要求</w:t>
            </w:r>
          </w:p>
        </w:tc>
        <w:tc>
          <w:tcPr>
            <w:tcW w:w="1672" w:type="dxa"/>
            <w:noWrap/>
            <w:vAlign w:val="center"/>
          </w:tcPr>
          <w:p w14:paraId="2CA3947B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其他要求，必须满足</w:t>
            </w:r>
          </w:p>
        </w:tc>
        <w:tc>
          <w:tcPr>
            <w:tcW w:w="7166" w:type="dxa"/>
            <w:noWrap/>
            <w:vAlign w:val="center"/>
          </w:tcPr>
          <w:p w14:paraId="141253F2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至少具有1名ORACLE OCM认证工程师,进场前提供证书原件。</w:t>
            </w:r>
          </w:p>
        </w:tc>
      </w:tr>
    </w:tbl>
    <w:p w14:paraId="08D5E38A">
      <w:pPr>
        <w:pStyle w:val="3"/>
        <w:bidi w:val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4.信息系统安全服务</w:t>
      </w:r>
    </w:p>
    <w:p w14:paraId="47E7590C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信息系统安全服务是指与本项目维护软硬件列表中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小型机、存储、数据库等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相关的软硬件系统相关的信息安全和相应的数据安全服务。包括操作系统补丁、漏洞检测、漏洞补丁、漏洞修复、数据安全检测及相关安全修复服务。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应具备自行进行核心相关设备的漏洞检测及漏洞修复能力。为了保证核心设备信息安全服务能力，必须具有如下功能的远程安全评估系统工具，定期为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提供专业的漏洞扫描服务，授权可扫描总数量为无限的 IP 地址或域名，并对存在的风险点提供打补丁及优化等服务。</w:t>
      </w:r>
    </w:p>
    <w:p w14:paraId="15988DBE">
      <w:pPr>
        <w:adjustRightInd w:val="0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远程安全评估系统工具性能基本要求如下：</w:t>
      </w:r>
    </w:p>
    <w:tbl>
      <w:tblPr>
        <w:tblStyle w:val="9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7999"/>
      </w:tblGrid>
      <w:tr w14:paraId="6D6FF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960" w:type="dxa"/>
            <w:vAlign w:val="top"/>
          </w:tcPr>
          <w:p w14:paraId="19E7E1E3">
            <w:pPr>
              <w:pStyle w:val="8"/>
              <w:spacing w:before="85" w:line="220" w:lineRule="auto"/>
              <w:ind w:left="114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4"/>
                <w:sz w:val="21"/>
                <w:szCs w:val="21"/>
                <w:highlight w:val="none"/>
              </w:rPr>
              <w:t>指标项</w:t>
            </w:r>
          </w:p>
        </w:tc>
        <w:tc>
          <w:tcPr>
            <w:tcW w:w="7999" w:type="dxa"/>
            <w:vAlign w:val="top"/>
          </w:tcPr>
          <w:p w14:paraId="3C3A9317">
            <w:pPr>
              <w:pStyle w:val="8"/>
              <w:spacing w:before="85" w:line="219" w:lineRule="auto"/>
              <w:ind w:left="12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2"/>
                <w:sz w:val="21"/>
                <w:szCs w:val="21"/>
                <w:highlight w:val="none"/>
              </w:rPr>
              <w:t>规格要求</w:t>
            </w:r>
          </w:p>
        </w:tc>
      </w:tr>
      <w:tr w14:paraId="410EF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60" w:type="dxa"/>
            <w:vMerge w:val="restart"/>
            <w:tcBorders>
              <w:bottom w:val="nil"/>
            </w:tcBorders>
            <w:vAlign w:val="top"/>
          </w:tcPr>
          <w:p w14:paraId="0EA12210">
            <w:pPr>
              <w:spacing w:line="263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6D9B1385">
            <w:pPr>
              <w:spacing w:line="264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2992407A">
            <w:pPr>
              <w:pStyle w:val="8"/>
              <w:spacing w:before="78" w:line="296" w:lineRule="auto"/>
              <w:ind w:left="114" w:right="55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12"/>
                <w:sz w:val="21"/>
                <w:szCs w:val="21"/>
                <w:highlight w:val="none"/>
              </w:rPr>
              <w:t>漏洞管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color w:val="auto"/>
                <w:spacing w:val="-12"/>
                <w:sz w:val="21"/>
                <w:szCs w:val="21"/>
                <w:highlight w:val="none"/>
              </w:rPr>
              <w:t>理和分</w:t>
            </w:r>
            <w:r>
              <w:rPr>
                <w:color w:val="auto"/>
                <w:sz w:val="21"/>
                <w:szCs w:val="21"/>
                <w:highlight w:val="none"/>
              </w:rPr>
              <w:t xml:space="preserve"> 析</w:t>
            </w:r>
          </w:p>
        </w:tc>
        <w:tc>
          <w:tcPr>
            <w:tcW w:w="7999" w:type="dxa"/>
            <w:vAlign w:val="top"/>
          </w:tcPr>
          <w:p w14:paraId="5B20D606">
            <w:pPr>
              <w:pStyle w:val="8"/>
              <w:spacing w:before="32" w:line="283" w:lineRule="auto"/>
              <w:ind w:left="120" w:right="292" w:hanging="1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1.支持检测的漏洞数大于49000条，兼容CVE、CNCVE、CNNVD、CNVD、Bugtraq等主流标准。</w:t>
            </w:r>
          </w:p>
        </w:tc>
      </w:tr>
      <w:tr w14:paraId="0DDBE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7A9385F4">
            <w:pPr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99" w:type="dxa"/>
            <w:vAlign w:val="top"/>
          </w:tcPr>
          <w:p w14:paraId="0DBBAA78">
            <w:pPr>
              <w:pStyle w:val="8"/>
              <w:spacing w:before="31" w:line="291" w:lineRule="auto"/>
              <w:ind w:left="120" w:right="164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2.提供高级漏洞模板过滤器，支持将符合筛选条件的漏洞自动加入到自定义漏洞模板中，及后续插件升级包中的漏洞也可以自动加入到模板中。</w:t>
            </w:r>
          </w:p>
        </w:tc>
      </w:tr>
      <w:tr w14:paraId="646FA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33D4F0E8">
            <w:pPr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99" w:type="dxa"/>
            <w:vAlign w:val="top"/>
          </w:tcPr>
          <w:p w14:paraId="17E5328D">
            <w:pPr>
              <w:pStyle w:val="8"/>
              <w:spacing w:before="54" w:line="286" w:lineRule="auto"/>
              <w:ind w:left="120" w:right="285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3.内置不同的漏洞模板针对Unix、Windows操作系统、网络设备等模板，同时支持用户自定义扫描范围和扫描策略；支持自动模板匹配技术，提供功能截</w:t>
            </w:r>
            <w:r>
              <w:rPr>
                <w:color w:val="auto"/>
                <w:spacing w:val="-1"/>
                <w:sz w:val="21"/>
                <w:szCs w:val="21"/>
                <w:highlight w:val="none"/>
              </w:rPr>
              <w:t>图。</w:t>
            </w:r>
          </w:p>
        </w:tc>
      </w:tr>
      <w:tr w14:paraId="278F1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vAlign w:val="top"/>
          </w:tcPr>
          <w:p w14:paraId="1D18A582">
            <w:pPr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99" w:type="dxa"/>
            <w:vAlign w:val="top"/>
          </w:tcPr>
          <w:p w14:paraId="1BB62D91">
            <w:pPr>
              <w:pStyle w:val="8"/>
              <w:spacing w:before="53" w:line="275" w:lineRule="auto"/>
              <w:ind w:left="120" w:right="291" w:hanging="10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4.支持扫描主流虚拟机管理系统的安全漏洞，如：VMWareESX/ESXi,要求能够扫描</w:t>
            </w:r>
            <w:r>
              <w:rPr>
                <w:color w:val="auto"/>
                <w:spacing w:val="-1"/>
                <w:sz w:val="21"/>
                <w:szCs w:val="21"/>
                <w:highlight w:val="none"/>
              </w:rPr>
              <w:t>大于300条相关漏洞。</w:t>
            </w:r>
          </w:p>
        </w:tc>
      </w:tr>
      <w:tr w14:paraId="683DB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60" w:type="dxa"/>
            <w:vMerge w:val="continue"/>
            <w:tcBorders>
              <w:top w:val="nil"/>
            </w:tcBorders>
            <w:vAlign w:val="top"/>
          </w:tcPr>
          <w:p w14:paraId="2E565B5B">
            <w:pPr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99" w:type="dxa"/>
            <w:vAlign w:val="top"/>
          </w:tcPr>
          <w:p w14:paraId="12C2BE20">
            <w:pPr>
              <w:pStyle w:val="8"/>
              <w:spacing w:before="45" w:line="289" w:lineRule="auto"/>
              <w:ind w:left="120"/>
              <w:jc w:val="both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pacing w:val="-7"/>
                <w:sz w:val="21"/>
                <w:szCs w:val="21"/>
                <w:highlight w:val="none"/>
              </w:rPr>
              <w:t>5.具备单独口令猜测扫描任务，支持多种口令猜测方式，包括利用SMB、TELNET、FTP、</w:t>
            </w:r>
            <w:r>
              <w:rPr>
                <w:color w:val="auto"/>
                <w:spacing w:val="9"/>
                <w:sz w:val="21"/>
                <w:szCs w:val="21"/>
                <w:highlight w:val="none"/>
              </w:rPr>
              <w:t xml:space="preserve"> </w:t>
            </w:r>
            <w:r>
              <w:rPr>
                <w:color w:val="auto"/>
                <w:spacing w:val="-2"/>
                <w:sz w:val="21"/>
                <w:szCs w:val="21"/>
                <w:highlight w:val="none"/>
              </w:rPr>
              <w:t>SSH、POP3、TOMCAT、SQL SERVER、MYSQL、ORACLE、SYBASE、DB2、SNMP等协议进行</w:t>
            </w:r>
            <w:r>
              <w:rPr>
                <w:color w:val="auto"/>
                <w:spacing w:val="-3"/>
                <w:sz w:val="21"/>
                <w:szCs w:val="21"/>
                <w:highlight w:val="none"/>
              </w:rPr>
              <w:t>口令猜测，允许外挂用户提供的用户名字典、密码字典和用户名密码组合字典。</w:t>
            </w:r>
          </w:p>
        </w:tc>
      </w:tr>
    </w:tbl>
    <w:p w14:paraId="4E225B72">
      <w:pPr>
        <w:pStyle w:val="3"/>
        <w:bidi w:val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5.最重要的服务质量保证</w:t>
      </w:r>
    </w:p>
    <w:p w14:paraId="5BDFDD4F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故障处理速度和质量要求：对于维护范围内的故障，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应在故障发生后立即响应，并尽快加以解决；对于非维护范围内的故障，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应在故障发生后积极配合其他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尽快加以解决。</w:t>
      </w:r>
    </w:p>
    <w:p w14:paraId="17B01AD7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由于本系统是极其重要的核心系统，为了保证维护服务质量，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必须为本项目作出独立的针对性投资，必须做出备件投资、人力投资、技术培训投资，以及核心部分的原厂技术服务投资，这些投资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都将查验，投资成本必须体现并已经包含在维护报价中，拒绝不顾服务质量安全低于成本的恶意竞标行为。</w:t>
      </w:r>
    </w:p>
    <w:p w14:paraId="61377549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（1）备件投资</w:t>
      </w:r>
    </w:p>
    <w:p w14:paraId="274555B7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针对本服务项目进行备件投资，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将对备件库实地考查，同时提供要求备件直接存放到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机房现场，并不得挪作别单位使用。本次设备为核心设备，必须确保设备质量，所提供备件必须原厂原装，严禁二手备件或返修备件，所有设备必须在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后合同签订前一周内到场，采购人将根据序列号逐一查验，查验合格后方签订合同，若有一件不合要求则所有设备没收，按骗标处理同时取消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资格并追究责任。现场存放备件包含：</w:t>
      </w:r>
    </w:p>
    <w:p w14:paraId="665EAC64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A. 现场存放P750小型机电源、EMC硬盘1套；</w:t>
      </w:r>
    </w:p>
    <w:p w14:paraId="7674E9CB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公司备有服务所需要的整机，所有整机需与采购人配置一样。</w:t>
      </w:r>
    </w:p>
    <w:p w14:paraId="603A4BCA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这些设备都必须经过严格测试，处于良好状态，确保设备的正常可用并将在紧急时立刻进行设备替换，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将到场查看，若不符合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终止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合同。</w:t>
      </w:r>
    </w:p>
    <w:p w14:paraId="2EBF72E2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（2）人力投资：为本项目成立服务技术小组； </w:t>
      </w:r>
    </w:p>
    <w:p w14:paraId="00F00C97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供应商成立服务技术小组，小组成员包含：</w:t>
      </w:r>
    </w:p>
    <w:p w14:paraId="2430D52E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A.主机、存储硬件工程师；</w:t>
      </w:r>
    </w:p>
    <w:p w14:paraId="21BC83D2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B.系统软件工程师；</w:t>
      </w:r>
    </w:p>
    <w:p w14:paraId="47678085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C.ORACLE数据库工程师；</w:t>
      </w:r>
    </w:p>
    <w:p w14:paraId="62149847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D.数据灾难恢复专家，需要熟悉IBM AIX系统，以及底层软件结构，以及数据构成基础，如数据引导头二进制数据。</w:t>
      </w:r>
    </w:p>
    <w:p w14:paraId="089AB90E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（3）提供技术培训以提高系统管理员能力投资：</w:t>
      </w:r>
    </w:p>
    <w:p w14:paraId="52937580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供应商每年提供主机与存储2人*5天原厂标准培训服务。</w:t>
      </w:r>
    </w:p>
    <w:p w14:paraId="501E08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（4）具备强大的灾难恢复的能力</w:t>
      </w:r>
    </w:p>
    <w:p w14:paraId="28863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必须具备强大的处理系统灾难恢复的能力，必须能修复系统软件、数据库软件、或底层硬件引起的各种数据灾难问题，确保数据不能丢失，一旦有灾难问题出现，能使用专业的数据修复工具恢复数据，或紧急送到专业数据灾难恢复中心修复数据。</w:t>
      </w:r>
    </w:p>
    <w:p w14:paraId="2E8D1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项目成交公示期内，合同签订前，提交响应文件中工程师证书、企业综合实力、技术实力、企业业绩等材料原件供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查验，验证一致后方可签订合同。若原件与标书中材料不符作无效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处理，并追究相关责任。</w:t>
      </w:r>
    </w:p>
    <w:p w14:paraId="60B7DDA4">
      <w:pPr>
        <w:pStyle w:val="3"/>
        <w:bidi w:val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6.考核要求</w:t>
      </w:r>
    </w:p>
    <w:p w14:paraId="7DF7A733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为促使供应商在服务期间提供高质量的维保服务，对供应商的在项目服务期内的故障处置能力、巡检服务、响应服务时间等服务按年度进行考核评分，考核得分将作为每年度剩余50%服务费用的支付依据。</w:t>
      </w:r>
    </w:p>
    <w:p w14:paraId="4FE0520D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服务质量考核满分为100分。每一年度服务期开始时，得分为100分，按照下表的考核标准进行扣分。</w:t>
      </w:r>
    </w:p>
    <w:tbl>
      <w:tblPr>
        <w:tblStyle w:val="5"/>
        <w:tblW w:w="49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45"/>
        <w:gridCol w:w="1314"/>
        <w:gridCol w:w="3949"/>
        <w:gridCol w:w="1154"/>
      </w:tblGrid>
      <w:tr w14:paraId="534A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607758B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C83718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服务类型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173FC08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考核因素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A15B03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考核标准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3E5CC79A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考核得分</w:t>
            </w:r>
          </w:p>
        </w:tc>
      </w:tr>
      <w:tr w14:paraId="3C7D1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6" w:type="pct"/>
            <w:vMerge w:val="restart"/>
            <w:vAlign w:val="center"/>
          </w:tcPr>
          <w:p w14:paraId="7F41857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45" w:type="pct"/>
            <w:vMerge w:val="restart"/>
            <w:vAlign w:val="center"/>
          </w:tcPr>
          <w:p w14:paraId="6B4CF3F2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技术服务</w:t>
            </w:r>
          </w:p>
        </w:tc>
        <w:tc>
          <w:tcPr>
            <w:tcW w:w="786" w:type="pct"/>
            <w:vAlign w:val="center"/>
          </w:tcPr>
          <w:p w14:paraId="6E81969F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故障修复服务</w:t>
            </w:r>
          </w:p>
        </w:tc>
        <w:tc>
          <w:tcPr>
            <w:tcW w:w="2362" w:type="pct"/>
            <w:vAlign w:val="center"/>
          </w:tcPr>
          <w:p w14:paraId="6CE913E6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对因发生故障未按响应时限要求对故障进行修复的，每发生一次扣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690" w:type="pct"/>
            <w:vAlign w:val="center"/>
          </w:tcPr>
          <w:p w14:paraId="3FA6BA9D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80C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6" w:type="pct"/>
            <w:vMerge w:val="continue"/>
            <w:vAlign w:val="center"/>
          </w:tcPr>
          <w:p w14:paraId="4A08C715">
            <w:pPr>
              <w:spacing w:line="360" w:lineRule="auto"/>
              <w:ind w:firstLine="199" w:firstLineChars="95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pct"/>
            <w:vMerge w:val="continue"/>
            <w:vAlign w:val="center"/>
          </w:tcPr>
          <w:p w14:paraId="2E045236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6" w:type="pct"/>
            <w:vAlign w:val="center"/>
          </w:tcPr>
          <w:p w14:paraId="2D7E8EC0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应急响应</w:t>
            </w:r>
          </w:p>
        </w:tc>
        <w:tc>
          <w:tcPr>
            <w:tcW w:w="2362" w:type="pct"/>
            <w:vAlign w:val="center"/>
          </w:tcPr>
          <w:p w14:paraId="38BD1DDF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发生一次在遇到紧急事件时，未按采购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要求采取临时措施解决的扣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690" w:type="pct"/>
            <w:vAlign w:val="center"/>
          </w:tcPr>
          <w:p w14:paraId="42B5D997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B00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6" w:type="pct"/>
            <w:vMerge w:val="continue"/>
            <w:vAlign w:val="center"/>
          </w:tcPr>
          <w:p w14:paraId="74902A9C">
            <w:pPr>
              <w:spacing w:line="360" w:lineRule="auto"/>
              <w:ind w:firstLine="199" w:firstLineChars="95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pct"/>
            <w:vMerge w:val="continue"/>
            <w:vAlign w:val="center"/>
          </w:tcPr>
          <w:p w14:paraId="6E07C571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6" w:type="pct"/>
            <w:vAlign w:val="center"/>
          </w:tcPr>
          <w:p w14:paraId="09FC723C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现场支持</w:t>
            </w:r>
          </w:p>
        </w:tc>
        <w:tc>
          <w:tcPr>
            <w:tcW w:w="2362" w:type="pct"/>
            <w:vAlign w:val="center"/>
          </w:tcPr>
          <w:p w14:paraId="7FDC3F09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对因应采购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要求需到达现场支持服务，未按响应时间到达现场的每发生一次扣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690" w:type="pct"/>
            <w:vAlign w:val="center"/>
          </w:tcPr>
          <w:p w14:paraId="40AEB523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B8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6" w:type="pct"/>
            <w:vMerge w:val="continue"/>
            <w:vAlign w:val="center"/>
          </w:tcPr>
          <w:p w14:paraId="1819A2B0">
            <w:pPr>
              <w:spacing w:line="360" w:lineRule="auto"/>
              <w:ind w:firstLine="199" w:firstLineChars="95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pct"/>
            <w:vMerge w:val="continue"/>
            <w:vAlign w:val="center"/>
          </w:tcPr>
          <w:p w14:paraId="29C58C51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6" w:type="pct"/>
            <w:vAlign w:val="center"/>
          </w:tcPr>
          <w:p w14:paraId="56E6F3DA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远程支持服务</w:t>
            </w:r>
          </w:p>
        </w:tc>
        <w:tc>
          <w:tcPr>
            <w:tcW w:w="2362" w:type="pct"/>
            <w:vAlign w:val="center"/>
          </w:tcPr>
          <w:p w14:paraId="2FF8C3A7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发生一次未及时按照采购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要求提供设备故障远程支持服务的扣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690" w:type="pct"/>
            <w:vAlign w:val="center"/>
          </w:tcPr>
          <w:p w14:paraId="404CCF7A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D32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6" w:type="pct"/>
            <w:vMerge w:val="continue"/>
            <w:vAlign w:val="center"/>
          </w:tcPr>
          <w:p w14:paraId="30AB7AB9">
            <w:pPr>
              <w:spacing w:line="360" w:lineRule="auto"/>
              <w:ind w:firstLine="199" w:firstLineChars="95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pct"/>
            <w:vMerge w:val="continue"/>
            <w:vAlign w:val="center"/>
          </w:tcPr>
          <w:p w14:paraId="6EF9D877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6" w:type="pct"/>
            <w:vAlign w:val="center"/>
          </w:tcPr>
          <w:p w14:paraId="7490F6D2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电话支持服务</w:t>
            </w:r>
          </w:p>
        </w:tc>
        <w:tc>
          <w:tcPr>
            <w:tcW w:w="2362" w:type="pct"/>
            <w:vAlign w:val="center"/>
          </w:tcPr>
          <w:p w14:paraId="16183D2F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发生一次未及时响应采购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的电话咨询的扣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690" w:type="pct"/>
            <w:vAlign w:val="center"/>
          </w:tcPr>
          <w:p w14:paraId="2D851E60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F59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6" w:type="pct"/>
            <w:vMerge w:val="continue"/>
            <w:vAlign w:val="center"/>
          </w:tcPr>
          <w:p w14:paraId="37DC14CE">
            <w:pPr>
              <w:spacing w:line="360" w:lineRule="auto"/>
              <w:ind w:firstLine="199" w:firstLineChars="95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pct"/>
            <w:vMerge w:val="continue"/>
            <w:vAlign w:val="center"/>
          </w:tcPr>
          <w:p w14:paraId="51C27D8C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6" w:type="pct"/>
            <w:vAlign w:val="center"/>
          </w:tcPr>
          <w:p w14:paraId="4370225C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系统更新升级服务</w:t>
            </w:r>
          </w:p>
        </w:tc>
        <w:tc>
          <w:tcPr>
            <w:tcW w:w="2362" w:type="pct"/>
            <w:vAlign w:val="center"/>
          </w:tcPr>
          <w:p w14:paraId="0EDD87AC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发生一次未按采购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要求将软件、固件及特征库升级到最新版本扣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690" w:type="pct"/>
            <w:vAlign w:val="center"/>
          </w:tcPr>
          <w:p w14:paraId="58B50F5B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0E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16" w:type="pct"/>
            <w:vMerge w:val="restart"/>
            <w:vAlign w:val="center"/>
          </w:tcPr>
          <w:p w14:paraId="4D9B017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45" w:type="pct"/>
            <w:vMerge w:val="restart"/>
            <w:vAlign w:val="center"/>
          </w:tcPr>
          <w:p w14:paraId="16EC63B0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个性化服务</w:t>
            </w:r>
          </w:p>
        </w:tc>
        <w:tc>
          <w:tcPr>
            <w:tcW w:w="786" w:type="pct"/>
            <w:vAlign w:val="center"/>
          </w:tcPr>
          <w:p w14:paraId="3604C43A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巡检服务</w:t>
            </w:r>
          </w:p>
        </w:tc>
        <w:tc>
          <w:tcPr>
            <w:tcW w:w="2362" w:type="pct"/>
            <w:vAlign w:val="center"/>
          </w:tcPr>
          <w:p w14:paraId="7D45B32F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未按照采购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要求提供巡检服务的每次扣2分</w:t>
            </w:r>
          </w:p>
        </w:tc>
        <w:tc>
          <w:tcPr>
            <w:tcW w:w="690" w:type="pct"/>
            <w:vAlign w:val="center"/>
          </w:tcPr>
          <w:p w14:paraId="5A0D7334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D6EB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6" w:type="pct"/>
            <w:vMerge w:val="continue"/>
            <w:vAlign w:val="center"/>
          </w:tcPr>
          <w:p w14:paraId="2CA69BA9">
            <w:pPr>
              <w:spacing w:line="360" w:lineRule="auto"/>
              <w:ind w:firstLine="210" w:firstLineChars="1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pct"/>
            <w:vMerge w:val="continue"/>
            <w:vAlign w:val="center"/>
          </w:tcPr>
          <w:p w14:paraId="345DCCC6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6" w:type="pct"/>
            <w:vAlign w:val="center"/>
          </w:tcPr>
          <w:p w14:paraId="6C7BCED6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设备档案库建设服务</w:t>
            </w:r>
          </w:p>
        </w:tc>
        <w:tc>
          <w:tcPr>
            <w:tcW w:w="2362" w:type="pct"/>
            <w:vAlign w:val="center"/>
          </w:tcPr>
          <w:p w14:paraId="264E8241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未按照要求提交巡检报告、故障修复报告、优化报告、年度报告等，每少一份扣1分</w:t>
            </w:r>
          </w:p>
        </w:tc>
        <w:tc>
          <w:tcPr>
            <w:tcW w:w="690" w:type="pct"/>
            <w:vAlign w:val="center"/>
          </w:tcPr>
          <w:p w14:paraId="0BB3D3AD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36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416" w:type="pct"/>
            <w:vMerge w:val="continue"/>
            <w:vAlign w:val="center"/>
          </w:tcPr>
          <w:p w14:paraId="320B3EAD">
            <w:pPr>
              <w:spacing w:line="360" w:lineRule="auto"/>
              <w:ind w:firstLine="210" w:firstLineChars="1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5" w:type="pct"/>
            <w:vMerge w:val="continue"/>
            <w:vAlign w:val="center"/>
          </w:tcPr>
          <w:p w14:paraId="5870AC7A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6" w:type="pct"/>
            <w:vAlign w:val="center"/>
          </w:tcPr>
          <w:p w14:paraId="4526856D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重要时刻保障服务</w:t>
            </w:r>
          </w:p>
        </w:tc>
        <w:tc>
          <w:tcPr>
            <w:tcW w:w="2362" w:type="pct"/>
            <w:vAlign w:val="center"/>
          </w:tcPr>
          <w:p w14:paraId="4F7F4E74">
            <w:pPr>
              <w:spacing w:line="240" w:lineRule="auto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发生一次未按照采购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要求在重要保障（业务上线、年终结算、扩容升级等）提供重要业务上线期间现场巡检及人员保障服务的扣2分。</w:t>
            </w:r>
          </w:p>
        </w:tc>
        <w:tc>
          <w:tcPr>
            <w:tcW w:w="690" w:type="pct"/>
            <w:vAlign w:val="center"/>
          </w:tcPr>
          <w:p w14:paraId="6561FB6E">
            <w:pPr>
              <w:spacing w:line="360" w:lineRule="auto"/>
              <w:ind w:firstLine="42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CC5EF8A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依据年度服务质量考核得分确定合同款项支付比例，例如：若年度服务质量考核得分为100分，则支付剩余款项的100%；若考核得分为95分，则支付剩余款项的95%；若年度服务质量考核得分最终为90分，则支付剩余款项的90%，以此类推。</w:t>
      </w:r>
    </w:p>
    <w:p w14:paraId="0C269043">
      <w:pPr>
        <w:adjustRightInd w:val="0"/>
        <w:ind w:firstLine="482" w:firstLineChars="200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三、其他要求</w:t>
      </w:r>
    </w:p>
    <w:p w14:paraId="789DDE3C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1.服务时间：自合同签订之日起至2026年12月31日。服务期满后，在年度预算能保障的前提下，经双方友好协商无异议，可续签合同，合同一年一签，续签不超过两次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15E5898">
      <w:pPr>
        <w:adjustRightInd w:val="0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2.支付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服务费用按年度支付，年度合同签订后15个工作日内支付年度合同金额的50%，年度服务期结束，验收合格后，支付年度合同金额的余款。</w:t>
      </w:r>
    </w:p>
    <w:p w14:paraId="77A84907">
      <w:pPr>
        <w:adjustRightInd w:val="0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3.付款条件：每次付款前供应商应向采购人开具合法有效的增值税发票。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9152A"/>
    <w:multiLevelType w:val="singleLevel"/>
    <w:tmpl w:val="C959152A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31C0"/>
    <w:rsid w:val="1A3431C0"/>
    <w:rsid w:val="1B7A1842"/>
    <w:rsid w:val="72DA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Bullet2"/>
    <w:basedOn w:val="1"/>
    <w:qFormat/>
    <w:uiPriority w:val="99"/>
    <w:pPr>
      <w:numPr>
        <w:ilvl w:val="0"/>
        <w:numId w:val="1"/>
      </w:numPr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7">
    <w:name w:val="NormalCharacter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7"/>
      <w:szCs w:val="7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6777</Words>
  <Characters>7400</Characters>
  <Lines>0</Lines>
  <Paragraphs>0</Paragraphs>
  <TotalTime>0</TotalTime>
  <ScaleCrop>false</ScaleCrop>
  <LinksUpToDate>false</LinksUpToDate>
  <CharactersWithSpaces>7441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2026-01-23T01:05:00Z</dcterms:created>
  <dc:creator>le</dc:creator>
  <cp:lastModifiedBy>le</cp:lastModifiedBy>
  <dcterms:modified xsi:type="dcterms:W3CDTF">2026-01-23T02:14:02Z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4C76D7647A054586894CE2C1B4D73253_11</vt:lpwstr>
  </property>
  <property fmtid="{D5CDD505-2E9C-101B-9397-08002B2CF9AE}" pid="4" name="KSOTemplateDocerSaveRecord">
    <vt:lpwstr>eyJoZGlkIjoiNzc3NGZiODMwZWIxNGQ1ZGM3NzU3NzM0MzJmZjJlOWYiLCJ1c2VySWQiOiIxMjY5NzgzNzg4In0=</vt:lpwstr>
  </property>
</Properties>
</file>