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color w:val="auto"/>
          <w:sz w:val="28"/>
          <w:szCs w:val="28"/>
          <w:highlight w:val="none"/>
        </w:rPr>
      </w:pPr>
    </w:p>
    <w:p>
      <w:pPr>
        <w:spacing w:line="360" w:lineRule="auto"/>
        <w:jc w:val="center"/>
        <w:rPr>
          <w:rFonts w:hint="eastAsia" w:ascii="华文中宋" w:hAnsi="华文中宋" w:eastAsia="华文中宋" w:cs="Times New Roman"/>
          <w:b/>
          <w:color w:val="auto"/>
          <w:sz w:val="44"/>
          <w:szCs w:val="44"/>
          <w:highlight w:val="none"/>
          <w:lang w:eastAsia="zh-CN"/>
        </w:rPr>
      </w:pPr>
      <w:r>
        <w:rPr>
          <w:rFonts w:hint="eastAsia" w:ascii="华文中宋" w:hAnsi="华文中宋" w:eastAsia="华文中宋" w:cs="Times New Roman"/>
          <w:b/>
          <w:color w:val="auto"/>
          <w:sz w:val="44"/>
          <w:szCs w:val="44"/>
          <w:highlight w:val="none"/>
          <w:lang w:eastAsia="zh-CN"/>
        </w:rPr>
        <w:t>南通市财政局公积金中心2025年度报表</w:t>
      </w:r>
    </w:p>
    <w:p>
      <w:pPr>
        <w:spacing w:line="360" w:lineRule="auto"/>
        <w:jc w:val="center"/>
        <w:rPr>
          <w:rFonts w:hint="eastAsia" w:ascii="华文中宋" w:hAnsi="华文中宋" w:eastAsia="华文中宋" w:cs="Times New Roman"/>
          <w:b/>
          <w:color w:val="auto"/>
          <w:sz w:val="44"/>
          <w:szCs w:val="44"/>
          <w:highlight w:val="none"/>
          <w:lang w:eastAsia="zh-CN"/>
        </w:rPr>
      </w:pPr>
      <w:r>
        <w:rPr>
          <w:rFonts w:hint="eastAsia" w:ascii="华文中宋" w:hAnsi="华文中宋" w:eastAsia="华文中宋" w:cs="Times New Roman"/>
          <w:b/>
          <w:color w:val="auto"/>
          <w:sz w:val="44"/>
          <w:szCs w:val="44"/>
          <w:highlight w:val="none"/>
          <w:lang w:eastAsia="zh-CN"/>
        </w:rPr>
        <w:t>审计采购项目</w:t>
      </w:r>
    </w:p>
    <w:p>
      <w:pPr>
        <w:spacing w:line="360" w:lineRule="auto"/>
        <w:jc w:val="center"/>
        <w:rPr>
          <w:rFonts w:hint="eastAsia" w:ascii="仿宋" w:hAnsi="仿宋" w:eastAsia="仿宋" w:cs="仿宋"/>
          <w:b/>
          <w:color w:val="auto"/>
          <w:sz w:val="28"/>
          <w:szCs w:val="28"/>
          <w:highlight w:val="none"/>
        </w:rPr>
      </w:pPr>
    </w:p>
    <w:p>
      <w:pPr>
        <w:autoSpaceDE w:val="0"/>
        <w:autoSpaceDN w:val="0"/>
        <w:adjustRightInd w:val="0"/>
        <w:jc w:val="center"/>
        <w:rPr>
          <w:rFonts w:hint="eastAsia" w:ascii="华文中宋" w:hAnsi="华文中宋" w:eastAsia="华文中宋" w:cs="仿宋"/>
          <w:b/>
          <w:bCs/>
          <w:color w:val="auto"/>
          <w:sz w:val="56"/>
          <w:szCs w:val="72"/>
          <w:highlight w:val="none"/>
          <w:lang w:val="zh-CN"/>
        </w:rPr>
      </w:pPr>
    </w:p>
    <w:p>
      <w:pPr>
        <w:autoSpaceDE w:val="0"/>
        <w:autoSpaceDN w:val="0"/>
        <w:adjustRightInd w:val="0"/>
        <w:jc w:val="center"/>
        <w:rPr>
          <w:rFonts w:hint="eastAsia" w:ascii="华文中宋" w:hAnsi="华文中宋" w:eastAsia="华文中宋" w:cs="仿宋"/>
          <w:b/>
          <w:bCs/>
          <w:color w:val="auto"/>
          <w:sz w:val="56"/>
          <w:szCs w:val="72"/>
          <w:highlight w:val="none"/>
          <w:lang w:val="zh-CN"/>
        </w:rPr>
      </w:pPr>
    </w:p>
    <w:p>
      <w:pPr>
        <w:autoSpaceDE w:val="0"/>
        <w:autoSpaceDN w:val="0"/>
        <w:adjustRightInd w:val="0"/>
        <w:jc w:val="center"/>
        <w:rPr>
          <w:rFonts w:hint="eastAsia" w:ascii="华文中宋" w:hAnsi="华文中宋" w:eastAsia="华文中宋" w:cs="仿宋"/>
          <w:b/>
          <w:bCs/>
          <w:color w:val="auto"/>
          <w:sz w:val="56"/>
          <w:szCs w:val="72"/>
          <w:highlight w:val="none"/>
        </w:rPr>
      </w:pPr>
      <w:r>
        <w:rPr>
          <w:rFonts w:hint="eastAsia" w:ascii="华文中宋" w:hAnsi="华文中宋" w:eastAsia="华文中宋" w:cs="仿宋"/>
          <w:b/>
          <w:bCs/>
          <w:color w:val="auto"/>
          <w:sz w:val="56"/>
          <w:szCs w:val="72"/>
          <w:highlight w:val="none"/>
          <w:lang w:val="zh-CN"/>
        </w:rPr>
        <w:t>比选文件</w:t>
      </w:r>
    </w:p>
    <w:p>
      <w:pPr>
        <w:spacing w:line="360" w:lineRule="auto"/>
        <w:jc w:val="center"/>
        <w:rPr>
          <w:rFonts w:hint="eastAsia" w:ascii="仿宋" w:hAnsi="仿宋" w:eastAsia="仿宋" w:cs="仿宋"/>
          <w:b/>
          <w:color w:val="auto"/>
          <w:sz w:val="28"/>
          <w:szCs w:val="28"/>
          <w:highlight w:val="none"/>
        </w:rPr>
      </w:pPr>
    </w:p>
    <w:p>
      <w:pPr>
        <w:spacing w:line="360" w:lineRule="auto"/>
        <w:jc w:val="center"/>
        <w:rPr>
          <w:rFonts w:hint="eastAsia" w:ascii="华文中宋" w:hAnsi="华文中宋" w:eastAsia="华文中宋" w:cs="仿宋"/>
          <w:b/>
          <w:color w:val="auto"/>
          <w:sz w:val="28"/>
          <w:szCs w:val="36"/>
          <w:highlight w:val="none"/>
        </w:rPr>
      </w:pPr>
    </w:p>
    <w:p>
      <w:pPr>
        <w:adjustRightInd w:val="0"/>
        <w:snapToGrid w:val="0"/>
        <w:spacing w:line="360" w:lineRule="auto"/>
        <w:ind w:firstLine="1506" w:firstLineChars="500"/>
        <w:rPr>
          <w:rFonts w:hint="eastAsia" w:ascii="宋体" w:hAnsi="宋体" w:cs="宋体"/>
          <w:b/>
          <w:bCs/>
          <w:color w:val="auto"/>
          <w:sz w:val="30"/>
          <w:szCs w:val="30"/>
          <w:highlight w:val="none"/>
        </w:rPr>
      </w:pPr>
    </w:p>
    <w:p>
      <w:pPr>
        <w:pStyle w:val="41"/>
        <w:rPr>
          <w:rFonts w:hint="eastAsia" w:ascii="宋体" w:hAnsi="宋体" w:cs="宋体"/>
          <w:b/>
          <w:bCs/>
          <w:color w:val="auto"/>
          <w:sz w:val="30"/>
          <w:szCs w:val="30"/>
          <w:highlight w:val="none"/>
        </w:rPr>
      </w:pPr>
    </w:p>
    <w:p>
      <w:pPr>
        <w:pStyle w:val="41"/>
        <w:rPr>
          <w:rFonts w:hint="eastAsia" w:ascii="宋体" w:hAnsi="宋体" w:cs="宋体"/>
          <w:b/>
          <w:bCs/>
          <w:color w:val="auto"/>
          <w:sz w:val="30"/>
          <w:szCs w:val="30"/>
          <w:highlight w:val="none"/>
        </w:rPr>
      </w:pPr>
    </w:p>
    <w:p>
      <w:pPr>
        <w:adjustRightInd w:val="0"/>
        <w:snapToGrid w:val="0"/>
        <w:spacing w:line="360" w:lineRule="auto"/>
        <w:ind w:firstLine="1506" w:firstLineChars="500"/>
        <w:rPr>
          <w:rFonts w:hint="eastAsia" w:ascii="宋体" w:hAnsi="宋体" w:cs="宋体"/>
          <w:b/>
          <w:bCs/>
          <w:color w:val="auto"/>
          <w:sz w:val="30"/>
          <w:szCs w:val="30"/>
          <w:highlight w:val="none"/>
        </w:rPr>
      </w:pPr>
    </w:p>
    <w:p>
      <w:pPr>
        <w:adjustRightInd w:val="0"/>
        <w:snapToGrid w:val="0"/>
        <w:spacing w:line="360" w:lineRule="auto"/>
        <w:ind w:firstLine="1506" w:firstLineChars="500"/>
        <w:rPr>
          <w:rFonts w:hint="eastAsia" w:ascii="宋体" w:hAnsi="宋体" w:cs="宋体"/>
          <w:b/>
          <w:bCs/>
          <w:color w:val="auto"/>
          <w:sz w:val="30"/>
          <w:szCs w:val="30"/>
          <w:highlight w:val="none"/>
        </w:rPr>
      </w:pPr>
    </w:p>
    <w:p>
      <w:pPr>
        <w:adjustRightInd w:val="0"/>
        <w:snapToGrid w:val="0"/>
        <w:spacing w:line="360" w:lineRule="auto"/>
        <w:ind w:firstLine="1506" w:firstLineChars="500"/>
        <w:rPr>
          <w:rFonts w:hint="eastAsia" w:ascii="宋体" w:hAnsi="宋体" w:cs="宋体"/>
          <w:b/>
          <w:bCs/>
          <w:color w:val="auto"/>
          <w:sz w:val="30"/>
          <w:szCs w:val="30"/>
          <w:highlight w:val="none"/>
        </w:rPr>
      </w:pPr>
    </w:p>
    <w:p>
      <w:pPr>
        <w:adjustRightInd w:val="0"/>
        <w:snapToGrid w:val="0"/>
        <w:spacing w:line="360" w:lineRule="auto"/>
        <w:ind w:firstLine="1506" w:firstLineChars="500"/>
        <w:rPr>
          <w:rFonts w:ascii="宋体" w:cs="Times New Roman"/>
          <w:b/>
          <w:bCs/>
          <w:color w:val="auto"/>
          <w:sz w:val="30"/>
          <w:szCs w:val="30"/>
          <w:highlight w:val="none"/>
        </w:rPr>
      </w:pPr>
      <w:r>
        <w:rPr>
          <w:rFonts w:hint="eastAsia" w:ascii="宋体" w:hAnsi="宋体" w:cs="宋体"/>
          <w:b/>
          <w:bCs/>
          <w:color w:val="auto"/>
          <w:sz w:val="30"/>
          <w:szCs w:val="30"/>
          <w:highlight w:val="none"/>
        </w:rPr>
        <w:t>采购单位：南通市财政局</w:t>
      </w:r>
    </w:p>
    <w:p>
      <w:pPr>
        <w:adjustRightInd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二〇二</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一</w:t>
      </w:r>
      <w:r>
        <w:rPr>
          <w:rFonts w:hint="eastAsia" w:ascii="宋体" w:hAnsi="宋体" w:cs="宋体"/>
          <w:b/>
          <w:bCs/>
          <w:color w:val="auto"/>
          <w:sz w:val="30"/>
          <w:szCs w:val="30"/>
          <w:highlight w:val="none"/>
        </w:rPr>
        <w:t>月</w:t>
      </w:r>
      <w:r>
        <w:rPr>
          <w:rFonts w:hint="eastAsia" w:ascii="宋体" w:hAnsi="宋体" w:cs="宋体"/>
          <w:b/>
          <w:bCs/>
          <w:color w:val="auto"/>
          <w:sz w:val="30"/>
          <w:szCs w:val="30"/>
          <w:highlight w:val="none"/>
          <w:lang w:val="en-US" w:eastAsia="zh-CN"/>
        </w:rPr>
        <w:t>二十二</w:t>
      </w:r>
      <w:r>
        <w:rPr>
          <w:rFonts w:hint="eastAsia" w:ascii="宋体" w:hAnsi="宋体" w:cs="宋体"/>
          <w:b/>
          <w:bCs/>
          <w:color w:val="auto"/>
          <w:sz w:val="30"/>
          <w:szCs w:val="30"/>
          <w:highlight w:val="none"/>
        </w:rPr>
        <w:t>日</w:t>
      </w:r>
    </w:p>
    <w:p>
      <w:pPr>
        <w:rPr>
          <w:rFonts w:hint="eastAsia" w:ascii="仿宋" w:hAnsi="仿宋" w:eastAsia="仿宋" w:cs="仿宋"/>
          <w:b/>
          <w:bCs/>
          <w:color w:val="auto"/>
          <w:sz w:val="52"/>
          <w:szCs w:val="32"/>
          <w:highlight w:val="none"/>
          <w:lang w:val="zh-CN"/>
        </w:rPr>
      </w:pPr>
    </w:p>
    <w:p>
      <w:pPr>
        <w:autoSpaceDE w:val="0"/>
        <w:autoSpaceDN w:val="0"/>
        <w:adjustRightInd w:val="0"/>
        <w:spacing w:before="319" w:beforeLines="100" w:after="319" w:afterLines="100" w:line="360" w:lineRule="auto"/>
        <w:jc w:val="center"/>
        <w:outlineLvl w:val="0"/>
        <w:rPr>
          <w:rFonts w:hint="eastAsia" w:ascii="仿宋" w:hAnsi="仿宋" w:eastAsia="仿宋" w:cs="仿宋"/>
          <w:b/>
          <w:bCs/>
          <w:color w:val="auto"/>
          <w:sz w:val="52"/>
          <w:szCs w:val="32"/>
          <w:highlight w:val="none"/>
          <w:lang w:val="zh-CN"/>
        </w:rPr>
      </w:pPr>
      <w:r>
        <w:rPr>
          <w:rFonts w:hint="eastAsia" w:ascii="仿宋" w:hAnsi="仿宋" w:eastAsia="仿宋" w:cs="仿宋"/>
          <w:b/>
          <w:bCs/>
          <w:color w:val="auto"/>
          <w:sz w:val="52"/>
          <w:szCs w:val="32"/>
          <w:highlight w:val="none"/>
          <w:lang w:val="zh-CN"/>
        </w:rPr>
        <w:t>目录</w:t>
      </w:r>
    </w:p>
    <w:p>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第一部分  比选邀请</w:t>
      </w:r>
    </w:p>
    <w:p>
      <w:pPr>
        <w:widowControl/>
        <w:shd w:val="clear" w:color="auto" w:fill="FFFFFF"/>
        <w:spacing w:before="159" w:beforeLines="50" w:after="159" w:afterLines="50" w:line="360" w:lineRule="auto"/>
        <w:ind w:firstLine="562" w:firstLineChars="200"/>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第二部分  比选须知</w:t>
      </w:r>
    </w:p>
    <w:p>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第三部分  项目需求</w:t>
      </w:r>
    </w:p>
    <w:p>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第四部分  评审方法和评审标准</w:t>
      </w:r>
    </w:p>
    <w:p>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第五部分  合同条款及格式</w:t>
      </w:r>
    </w:p>
    <w:p>
      <w:pPr>
        <w:widowControl/>
        <w:shd w:val="clear" w:color="auto" w:fill="FFFFFF"/>
        <w:spacing w:before="159" w:beforeLines="50" w:after="159" w:afterLines="50" w:line="360" w:lineRule="auto"/>
        <w:ind w:firstLine="562" w:firstLineChars="200"/>
        <w:jc w:val="left"/>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第六部分  响应文件组成</w:t>
      </w:r>
    </w:p>
    <w:p>
      <w:pPr>
        <w:widowControl/>
        <w:jc w:val="left"/>
        <w:rPr>
          <w:rFonts w:hint="eastAsia" w:ascii="仿宋" w:hAnsi="仿宋" w:eastAsia="仿宋"/>
          <w:color w:val="auto"/>
          <w:sz w:val="28"/>
          <w:szCs w:val="28"/>
          <w:highlight w:val="none"/>
        </w:rPr>
      </w:pPr>
      <w:r>
        <w:rPr>
          <w:rFonts w:ascii="仿宋" w:hAnsi="仿宋" w:eastAsia="仿宋"/>
          <w:color w:val="auto"/>
          <w:sz w:val="28"/>
          <w:szCs w:val="28"/>
          <w:highlight w:val="none"/>
        </w:rPr>
        <w:br w:type="page"/>
      </w:r>
    </w:p>
    <w:p>
      <w:pPr>
        <w:pStyle w:val="5"/>
        <w:spacing w:before="159" w:beforeLines="50" w:after="159" w:afterLines="50" w:line="360" w:lineRule="auto"/>
        <w:jc w:val="center"/>
        <w:rPr>
          <w:rFonts w:hint="eastAsia"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103330607"/>
      <w:bookmarkStart w:id="2" w:name="_Hlk81297243"/>
      <w:r>
        <w:rPr>
          <w:rFonts w:hint="eastAsia" w:ascii="仿宋" w:hAnsi="仿宋" w:eastAsia="仿宋"/>
          <w:color w:val="auto"/>
          <w:sz w:val="32"/>
          <w:szCs w:val="32"/>
          <w:highlight w:val="none"/>
        </w:rPr>
        <w:t>比选邀请</w:t>
      </w:r>
    </w:p>
    <w:bookmarkEnd w:id="0"/>
    <w:bookmarkEnd w:id="1"/>
    <w:bookmarkEnd w:id="2"/>
    <w:p>
      <w:pPr>
        <w:spacing w:line="360" w:lineRule="auto"/>
        <w:ind w:firstLine="480" w:firstLineChars="200"/>
        <w:rPr>
          <w:rFonts w:hint="eastAsia" w:ascii="仿宋" w:hAnsi="仿宋" w:eastAsia="仿宋"/>
          <w:color w:val="auto"/>
          <w:sz w:val="24"/>
          <w:szCs w:val="24"/>
          <w:highlight w:val="none"/>
        </w:rPr>
      </w:pPr>
      <w:bookmarkStart w:id="3" w:name="OLE_LINK3"/>
      <w:bookmarkStart w:id="4" w:name="OLE_LINK2"/>
      <w:bookmarkStart w:id="5" w:name="_Hlk117005804"/>
      <w:r>
        <w:rPr>
          <w:rFonts w:hint="eastAsia" w:ascii="仿宋" w:hAnsi="仿宋" w:eastAsia="仿宋"/>
          <w:color w:val="auto"/>
          <w:sz w:val="24"/>
          <w:szCs w:val="24"/>
          <w:highlight w:val="none"/>
          <w:lang w:eastAsia="zh-CN"/>
        </w:rPr>
        <w:t>南通市财政局公积金中心2025年度报表审计采购项目</w:t>
      </w:r>
      <w:r>
        <w:rPr>
          <w:rFonts w:hint="eastAsia" w:ascii="仿宋" w:hAnsi="仿宋" w:eastAsia="仿宋"/>
          <w:color w:val="auto"/>
          <w:sz w:val="24"/>
          <w:szCs w:val="24"/>
          <w:highlight w:val="none"/>
        </w:rPr>
        <w:t>进行比选采购，欢迎符合条件的供应商参加比选。</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项目概况</w:t>
      </w:r>
    </w:p>
    <w:p>
      <w:pPr>
        <w:widowControl/>
        <w:shd w:val="clear" w:color="auto" w:fill="FFFFFF"/>
        <w:spacing w:line="360" w:lineRule="auto"/>
        <w:ind w:firstLine="720" w:firstLineChars="3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eastAsia="zh-CN"/>
        </w:rPr>
        <w:t>南通市财政局公积金中心2025年度报表审计采购项目</w:t>
      </w:r>
      <w:r>
        <w:rPr>
          <w:rFonts w:hint="eastAsia" w:ascii="仿宋" w:hAnsi="仿宋" w:eastAsia="仿宋" w:cs="仿宋"/>
          <w:color w:val="auto"/>
          <w:sz w:val="24"/>
          <w:szCs w:val="24"/>
          <w:highlight w:val="none"/>
        </w:rPr>
        <w:t>的潜在供应商应在</w:t>
      </w:r>
      <w:r>
        <w:rPr>
          <w:rFonts w:hint="eastAsia" w:ascii="仿宋" w:hAnsi="仿宋" w:eastAsia="仿宋" w:cs="仿宋"/>
          <w:color w:val="auto"/>
          <w:sz w:val="24"/>
          <w:szCs w:val="24"/>
          <w:highlight w:val="none"/>
          <w:u w:val="single"/>
        </w:rPr>
        <w:t>“南通市财政局官网”</w:t>
      </w:r>
      <w:r>
        <w:rPr>
          <w:rFonts w:hint="eastAsia" w:ascii="仿宋" w:hAnsi="仿宋" w:eastAsia="仿宋" w:cs="仿宋"/>
          <w:color w:val="auto"/>
          <w:sz w:val="24"/>
          <w:szCs w:val="24"/>
          <w:highlight w:val="none"/>
        </w:rPr>
        <w:t>获取采购文件，并于</w:t>
      </w:r>
      <w:r>
        <w:rPr>
          <w:rFonts w:hint="eastAsia" w:ascii="仿宋" w:hAnsi="仿宋" w:eastAsia="仿宋" w:cs="仿宋"/>
          <w:color w:val="auto"/>
          <w:sz w:val="24"/>
          <w:szCs w:val="24"/>
          <w:highlight w:val="none"/>
          <w:u w:val="single"/>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月</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single"/>
        </w:rPr>
        <w:t>日14时</w:t>
      </w:r>
      <w:r>
        <w:rPr>
          <w:rFonts w:ascii="仿宋" w:hAnsi="仿宋" w:eastAsia="仿宋" w:cs="仿宋"/>
          <w:color w:val="auto"/>
          <w:sz w:val="24"/>
          <w:szCs w:val="24"/>
          <w:highlight w:val="none"/>
          <w:u w:val="single"/>
        </w:rPr>
        <w:t>3</w:t>
      </w:r>
      <w:r>
        <w:rPr>
          <w:rFonts w:hint="eastAsia" w:ascii="仿宋" w:hAnsi="仿宋" w:eastAsia="仿宋" w:cs="仿宋"/>
          <w:color w:val="auto"/>
          <w:sz w:val="24"/>
          <w:szCs w:val="24"/>
          <w:highlight w:val="none"/>
          <w:u w:val="single"/>
        </w:rPr>
        <w:t>0分</w:t>
      </w:r>
      <w:r>
        <w:rPr>
          <w:rFonts w:hint="eastAsia" w:ascii="仿宋" w:hAnsi="仿宋" w:eastAsia="仿宋" w:cs="仿宋"/>
          <w:color w:val="auto"/>
          <w:sz w:val="24"/>
          <w:szCs w:val="24"/>
          <w:highlight w:val="none"/>
        </w:rPr>
        <w:t>（北京时间）前递交响应文件。</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一、项目基本情况</w:t>
      </w:r>
    </w:p>
    <w:p>
      <w:pPr>
        <w:widowControl/>
        <w:shd w:val="clear" w:color="auto" w:fill="FFFFFF"/>
        <w:spacing w:line="360" w:lineRule="auto"/>
        <w:ind w:firstLine="480" w:firstLineChars="200"/>
        <w:jc w:val="left"/>
        <w:rPr>
          <w:rFonts w:hint="eastAsia" w:ascii="仿宋" w:hAnsi="仿宋" w:eastAsia="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olor w:val="auto"/>
          <w:sz w:val="24"/>
          <w:szCs w:val="24"/>
          <w:highlight w:val="none"/>
          <w:lang w:eastAsia="zh-CN"/>
        </w:rPr>
        <w:t>南通市财政局公积金中心2025年度报表审计采购项目</w:t>
      </w:r>
    </w:p>
    <w:p>
      <w:pPr>
        <w:widowControl/>
        <w:shd w:val="clear" w:color="auto" w:fill="FFFFFF"/>
        <w:spacing w:line="360" w:lineRule="auto"/>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项目类型：服务</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所属行业：其他未列明行业</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7万元</w:t>
      </w:r>
      <w:r>
        <w:rPr>
          <w:rFonts w:hint="eastAsia" w:ascii="仿宋" w:hAnsi="仿宋" w:eastAsia="仿宋" w:cs="仿宋"/>
          <w:color w:val="auto"/>
          <w:sz w:val="24"/>
          <w:szCs w:val="24"/>
          <w:highlight w:val="none"/>
        </w:rPr>
        <w:t>；</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采购需求：详见比选文件，请仔细研究。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合同履行期限：详见比选文件。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本项目是否接受联合体投标：否。</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本项目是否接受分包：否。</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二、供应商的资格要求：</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满足以下资格要求规定：</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（1）供应商应为依法成立的会计师事务所；</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（2）具有独立承担民事责任的能力；</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（3）具有良好的商业信誉和健全的财务会计制度；</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（4）具有履行合同所必需的设备和专业技术能力；</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（5）有依法缴纳税收和社会保障资金的良好记录；</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（6）参加采购活动前三年内，在经营活动中没有重大违法记录；</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（7）法律、行政法规规定的其他条件。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本项目的特定资格要求：</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供应商未被“信用中国”网站（www.creditchina.gov.cn）列入失信被执行人、重大税收违法案件当事人名单、采购严重失信行为记录名单。</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三、获取采购文件和供应商响应</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日至2025年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w:t>
      </w:r>
    </w:p>
    <w:p>
      <w:pPr>
        <w:widowControl/>
        <w:shd w:val="clear" w:color="auto" w:fill="FFFFFF"/>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地点：南通市崇川区</w:t>
      </w:r>
      <w:r>
        <w:rPr>
          <w:rFonts w:hint="eastAsia" w:ascii="仿宋" w:hAnsi="仿宋" w:eastAsia="仿宋" w:cs="仿宋"/>
          <w:color w:val="auto"/>
          <w:sz w:val="24"/>
          <w:szCs w:val="24"/>
          <w:highlight w:val="none"/>
          <w:lang w:val="en-US" w:eastAsia="zh-CN"/>
        </w:rPr>
        <w:t>世纪大道8</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报业大厦1116室</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四、响应文件提交截止时间、比选时间和地点</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w:t>
      </w:r>
      <w:r>
        <w:rPr>
          <w:rFonts w:ascii="仿宋" w:hAnsi="仿宋" w:eastAsia="仿宋" w:cs="仿宋"/>
          <w:color w:val="auto"/>
          <w:sz w:val="24"/>
          <w:szCs w:val="24"/>
          <w:highlight w:val="none"/>
        </w:rPr>
        <w:t>14</w:t>
      </w:r>
      <w:r>
        <w:rPr>
          <w:rFonts w:hint="eastAsia" w:ascii="仿宋" w:hAnsi="仿宋" w:eastAsia="仿宋" w:cs="仿宋"/>
          <w:color w:val="auto"/>
          <w:sz w:val="24"/>
          <w:szCs w:val="24"/>
          <w:highlight w:val="none"/>
        </w:rPr>
        <w:t>时</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0分（北京时间）</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开标地点：南通市世纪大道8号报业大厦11楼1116会议室。</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五、公告期限</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六、其他补充事宜</w:t>
      </w:r>
    </w:p>
    <w:p>
      <w:pPr>
        <w:widowControl/>
        <w:shd w:val="clear" w:color="auto" w:fill="FFFFFF"/>
        <w:tabs>
          <w:tab w:val="left" w:pos="3575"/>
        </w:tabs>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比选保证金：免收。</w:t>
      </w:r>
    </w:p>
    <w:p>
      <w:pPr>
        <w:widowControl/>
        <w:shd w:val="clear" w:color="auto" w:fill="FFFFFF"/>
        <w:tabs>
          <w:tab w:val="left" w:pos="3575"/>
        </w:tabs>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履约保证金：免收。</w:t>
      </w:r>
    </w:p>
    <w:p>
      <w:pPr>
        <w:widowControl/>
        <w:shd w:val="clear" w:color="auto" w:fill="FFFFFF"/>
        <w:tabs>
          <w:tab w:val="left" w:pos="3575"/>
        </w:tabs>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项目比选活动模式：现场提交响应文件。特殊情况下，采购人可以采用不见面远程比选模式，具体方式另行通知。</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项目演示、样品、答辩等：无。</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对项目需求部分（项目需求）的询问、质疑请向采购人提出，由采购人负责答复。</w:t>
      </w:r>
    </w:p>
    <w:p>
      <w:pPr>
        <w:widowControl/>
        <w:shd w:val="clear" w:color="auto" w:fill="FFFFFF"/>
        <w:spacing w:line="360" w:lineRule="auto"/>
        <w:ind w:firstLine="480" w:firstLineChars="200"/>
        <w:jc w:val="left"/>
        <w:rPr>
          <w:rFonts w:hint="eastAsia" w:ascii="仿宋" w:hAnsi="仿宋" w:eastAsia="仿宋" w:cs="Times New Roman"/>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七、对本次采购提出询问，请按以下方式联系。</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名称：南通市财政局</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地址：南通市世纪大道8号报业大厦</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val="en-US" w:eastAsia="zh-CN"/>
        </w:rPr>
        <w:t xml:space="preserve">沈主任 </w:t>
      </w:r>
      <w:r>
        <w:rPr>
          <w:rFonts w:hint="eastAsia" w:ascii="仿宋" w:hAnsi="仿宋" w:eastAsia="仿宋" w:cs="仿宋"/>
          <w:color w:val="auto"/>
          <w:sz w:val="24"/>
          <w:szCs w:val="24"/>
          <w:highlight w:val="none"/>
        </w:rPr>
        <w:t>85594145</w:t>
      </w:r>
    </w:p>
    <w:p>
      <w:pPr>
        <w:widowControl/>
        <w:shd w:val="clear" w:color="auto" w:fill="FFFFFF"/>
        <w:spacing w:line="360" w:lineRule="auto"/>
        <w:ind w:firstLine="482" w:firstLineChars="200"/>
        <w:jc w:val="right"/>
        <w:rPr>
          <w:rFonts w:hint="eastAsia" w:ascii="仿宋" w:hAnsi="仿宋" w:eastAsia="仿宋" w:cs="仿宋"/>
          <w:b/>
          <w:color w:val="auto"/>
          <w:sz w:val="24"/>
          <w:szCs w:val="24"/>
          <w:highlight w:val="none"/>
        </w:rPr>
      </w:pPr>
    </w:p>
    <w:bookmarkEnd w:id="3"/>
    <w:bookmarkEnd w:id="4"/>
    <w:bookmarkEnd w:id="5"/>
    <w:p>
      <w:pPr>
        <w:widowControl/>
        <w:shd w:val="clear" w:color="auto" w:fill="FFFFFF"/>
        <w:spacing w:line="360" w:lineRule="auto"/>
        <w:ind w:firstLine="482" w:firstLineChars="200"/>
        <w:jc w:val="righ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南通市财政局</w:t>
      </w:r>
    </w:p>
    <w:p>
      <w:pPr>
        <w:widowControl/>
        <w:shd w:val="clear" w:color="auto" w:fill="FFFFFF"/>
        <w:spacing w:line="360" w:lineRule="auto"/>
        <w:ind w:firstLine="482" w:firstLineChars="200"/>
        <w:jc w:val="right"/>
        <w:rPr>
          <w:color w:val="auto"/>
          <w:highlight w:val="none"/>
        </w:rPr>
      </w:pPr>
      <w:r>
        <w:rPr>
          <w:rFonts w:hint="eastAsia" w:ascii="仿宋" w:hAnsi="仿宋" w:eastAsia="仿宋" w:cs="仿宋"/>
          <w:b/>
          <w:color w:val="auto"/>
          <w:sz w:val="24"/>
          <w:szCs w:val="24"/>
          <w:highlight w:val="none"/>
        </w:rPr>
        <w:t>202</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年</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月</w:t>
      </w: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日</w:t>
      </w:r>
    </w:p>
    <w:p>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br w:type="page"/>
      </w:r>
    </w:p>
    <w:p>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第二部分 比选须知</w:t>
      </w:r>
    </w:p>
    <w:p>
      <w:pPr>
        <w:pStyle w:val="6"/>
        <w:spacing w:before="0" w:after="0" w:line="360" w:lineRule="auto"/>
        <w:rPr>
          <w:rFonts w:hint="eastAsia" w:ascii="仿宋" w:hAnsi="仿宋" w:eastAsia="仿宋"/>
          <w:color w:val="auto"/>
          <w:sz w:val="24"/>
          <w:szCs w:val="24"/>
          <w:highlight w:val="none"/>
        </w:rPr>
      </w:pPr>
      <w:bookmarkStart w:id="6" w:name="_Toc513029203"/>
      <w:bookmarkStart w:id="7" w:name="_Toc120614214"/>
      <w:bookmarkStart w:id="8" w:name="_Toc20823275"/>
      <w:bookmarkStart w:id="9" w:name="_Toc16938519"/>
      <w:r>
        <w:rPr>
          <w:rFonts w:ascii="仿宋" w:hAnsi="仿宋" w:eastAsia="仿宋"/>
          <w:color w:val="auto"/>
          <w:sz w:val="24"/>
          <w:szCs w:val="24"/>
          <w:highlight w:val="none"/>
        </w:rPr>
        <w:t>（一）总则</w:t>
      </w:r>
      <w:bookmarkEnd w:id="6"/>
      <w:bookmarkEnd w:id="7"/>
      <w:bookmarkEnd w:id="8"/>
      <w:bookmarkEnd w:id="9"/>
    </w:p>
    <w:p>
      <w:pPr>
        <w:pStyle w:val="7"/>
        <w:spacing w:before="0" w:after="0" w:line="360" w:lineRule="auto"/>
        <w:rPr>
          <w:rFonts w:hint="eastAsia" w:ascii="仿宋" w:hAnsi="仿宋" w:eastAsia="仿宋"/>
          <w:color w:val="auto"/>
          <w:sz w:val="24"/>
          <w:szCs w:val="24"/>
          <w:highlight w:val="none"/>
        </w:rPr>
      </w:pPr>
      <w:bookmarkStart w:id="10" w:name="_Hlt16619475"/>
      <w:bookmarkEnd w:id="10"/>
      <w:bookmarkStart w:id="11" w:name="_Toc458694821"/>
      <w:bookmarkStart w:id="12" w:name="_Toc513029204"/>
      <w:bookmarkStart w:id="13" w:name="_Toc20823276"/>
      <w:bookmarkStart w:id="14" w:name="_Toc16938520"/>
      <w:r>
        <w:rPr>
          <w:rFonts w:ascii="仿宋" w:hAnsi="仿宋" w:eastAsia="仿宋"/>
          <w:color w:val="auto"/>
          <w:sz w:val="24"/>
          <w:szCs w:val="24"/>
          <w:highlight w:val="none"/>
        </w:rPr>
        <w:t>1</w:t>
      </w:r>
      <w:bookmarkEnd w:id="11"/>
      <w:r>
        <w:rPr>
          <w:rFonts w:ascii="仿宋" w:hAnsi="仿宋" w:eastAsia="仿宋"/>
          <w:color w:val="auto"/>
          <w:sz w:val="24"/>
          <w:szCs w:val="24"/>
          <w:highlight w:val="none"/>
        </w:rPr>
        <w:t>.采购方式</w:t>
      </w:r>
      <w:bookmarkEnd w:id="12"/>
      <w:bookmarkEnd w:id="13"/>
      <w:bookmarkEnd w:id="14"/>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本次采取比选方式，本比选文件仅适用于比选公告中所述项目。</w:t>
      </w:r>
    </w:p>
    <w:p>
      <w:pPr>
        <w:pStyle w:val="7"/>
        <w:spacing w:before="0" w:after="0" w:line="360" w:lineRule="auto"/>
        <w:rPr>
          <w:rFonts w:hint="eastAsia" w:ascii="仿宋" w:hAnsi="仿宋" w:eastAsia="仿宋"/>
          <w:color w:val="auto"/>
          <w:sz w:val="24"/>
          <w:szCs w:val="24"/>
          <w:highlight w:val="none"/>
        </w:rPr>
      </w:pPr>
      <w:bookmarkStart w:id="15" w:name="_Toc513029205"/>
      <w:bookmarkStart w:id="16" w:name="_Toc16938521"/>
      <w:bookmarkStart w:id="17" w:name="_Toc20823277"/>
      <w:r>
        <w:rPr>
          <w:rFonts w:ascii="仿宋" w:hAnsi="仿宋" w:eastAsia="仿宋"/>
          <w:color w:val="auto"/>
          <w:sz w:val="24"/>
          <w:szCs w:val="24"/>
          <w:highlight w:val="none"/>
        </w:rPr>
        <w:t>2.合格的</w:t>
      </w:r>
      <w:bookmarkEnd w:id="15"/>
      <w:bookmarkEnd w:id="16"/>
      <w:bookmarkEnd w:id="17"/>
      <w:r>
        <w:rPr>
          <w:rFonts w:ascii="仿宋" w:hAnsi="仿宋" w:eastAsia="仿宋"/>
          <w:color w:val="auto"/>
          <w:sz w:val="24"/>
          <w:szCs w:val="24"/>
          <w:highlight w:val="none"/>
        </w:rPr>
        <w:t>供应商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满足比选公告中供应商的资格要求的规定。</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pPr>
        <w:pStyle w:val="7"/>
        <w:spacing w:before="0" w:after="0" w:line="360" w:lineRule="auto"/>
        <w:rPr>
          <w:rFonts w:hint="eastAsia" w:ascii="仿宋" w:hAnsi="仿宋" w:eastAsia="仿宋"/>
          <w:color w:val="auto"/>
          <w:sz w:val="24"/>
          <w:szCs w:val="24"/>
          <w:highlight w:val="none"/>
        </w:rPr>
      </w:pPr>
      <w:bookmarkStart w:id="18" w:name="_Toc16938522"/>
      <w:bookmarkStart w:id="19" w:name="_Toc513029206"/>
      <w:bookmarkStart w:id="20" w:name="_Toc20823278"/>
      <w:r>
        <w:rPr>
          <w:rFonts w:ascii="仿宋" w:hAnsi="仿宋" w:eastAsia="仿宋"/>
          <w:color w:val="auto"/>
          <w:sz w:val="24"/>
          <w:szCs w:val="24"/>
          <w:highlight w:val="none"/>
        </w:rPr>
        <w:t>3.适用法律</w:t>
      </w:r>
      <w:bookmarkEnd w:id="18"/>
      <w:bookmarkEnd w:id="19"/>
      <w:bookmarkEnd w:id="20"/>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pPr>
        <w:pStyle w:val="7"/>
        <w:spacing w:before="0" w:after="0"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r>
        <w:rPr>
          <w:rFonts w:ascii="仿宋" w:hAnsi="仿宋" w:eastAsia="仿宋"/>
          <w:color w:val="auto"/>
          <w:sz w:val="24"/>
          <w:szCs w:val="24"/>
          <w:highlight w:val="none"/>
        </w:rPr>
        <w:t>.比选文件的约束力</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供应商一旦参加本项目采购活动，即被认为接受了本比选文件的规定和约束。</w:t>
      </w:r>
    </w:p>
    <w:p>
      <w:pPr>
        <w:pStyle w:val="7"/>
        <w:spacing w:before="0" w:after="0"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r>
        <w:rPr>
          <w:rFonts w:ascii="仿宋" w:hAnsi="仿宋" w:eastAsia="仿宋"/>
          <w:color w:val="auto"/>
          <w:sz w:val="24"/>
          <w:szCs w:val="24"/>
          <w:highlight w:val="none"/>
        </w:rPr>
        <w:t>.比选文件的解释</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比选文件需求部分（项目需求）由采购人解释。</w:t>
      </w:r>
    </w:p>
    <w:p>
      <w:pPr>
        <w:pStyle w:val="6"/>
        <w:spacing w:before="0" w:after="0" w:line="360" w:lineRule="auto"/>
        <w:rPr>
          <w:rFonts w:hint="eastAsia" w:ascii="仿宋" w:hAnsi="仿宋" w:eastAsia="仿宋"/>
          <w:color w:val="auto"/>
          <w:sz w:val="24"/>
          <w:szCs w:val="24"/>
          <w:highlight w:val="none"/>
        </w:rPr>
      </w:pPr>
      <w:bookmarkStart w:id="21" w:name="_Toc120614215"/>
      <w:bookmarkStart w:id="22" w:name="_Toc20823281"/>
      <w:bookmarkStart w:id="23" w:name="_Toc513029209"/>
      <w:bookmarkStart w:id="24" w:name="_Toc16938525"/>
      <w:r>
        <w:rPr>
          <w:rFonts w:ascii="仿宋" w:hAnsi="仿宋" w:eastAsia="仿宋"/>
          <w:color w:val="auto"/>
          <w:sz w:val="24"/>
          <w:szCs w:val="24"/>
          <w:highlight w:val="none"/>
        </w:rPr>
        <w:t>（二）比选文件</w:t>
      </w:r>
      <w:bookmarkEnd w:id="21"/>
      <w:bookmarkEnd w:id="22"/>
      <w:bookmarkEnd w:id="23"/>
      <w:bookmarkEnd w:id="24"/>
    </w:p>
    <w:p>
      <w:pPr>
        <w:pStyle w:val="7"/>
        <w:spacing w:before="0" w:after="0" w:line="360" w:lineRule="auto"/>
        <w:rPr>
          <w:rFonts w:hint="eastAsia" w:ascii="仿宋" w:hAnsi="仿宋" w:eastAsia="仿宋"/>
          <w:color w:val="auto"/>
          <w:sz w:val="24"/>
          <w:szCs w:val="24"/>
          <w:highlight w:val="none"/>
        </w:rPr>
      </w:pPr>
      <w:bookmarkStart w:id="25" w:name="_Toc20823282"/>
      <w:bookmarkStart w:id="26" w:name="_Toc16938526"/>
      <w:bookmarkStart w:id="27" w:name="_Toc513029210"/>
      <w:r>
        <w:rPr>
          <w:rFonts w:ascii="仿宋" w:hAnsi="仿宋" w:eastAsia="仿宋"/>
          <w:color w:val="auto"/>
          <w:sz w:val="24"/>
          <w:szCs w:val="24"/>
          <w:highlight w:val="none"/>
        </w:rPr>
        <w:t>1.比选文件构成</w:t>
      </w:r>
      <w:bookmarkEnd w:id="25"/>
      <w:bookmarkEnd w:id="26"/>
      <w:bookmarkEnd w:id="27"/>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 比选文件由以下部分组成：</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采购邀请</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（2）比选须知</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（7）附件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请仔细检查比选文件是否齐全，如有缺漏请立即与采购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联系解决。</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比选文件中所有的事项、格式、条款和规范等要求。按比选文件要求和规定编制响应文件，并保证所提供的全部资料的真实性，以使其响应文件对比选文件作出实质性响应，否则其风险由供应商自行承担。</w:t>
      </w:r>
    </w:p>
    <w:p>
      <w:pPr>
        <w:pStyle w:val="7"/>
        <w:spacing w:before="0" w:after="0" w:line="360" w:lineRule="auto"/>
        <w:rPr>
          <w:rFonts w:hint="eastAsia" w:ascii="仿宋" w:hAnsi="仿宋" w:eastAsia="仿宋"/>
          <w:color w:val="auto"/>
          <w:sz w:val="24"/>
          <w:szCs w:val="24"/>
          <w:highlight w:val="none"/>
        </w:rPr>
      </w:pPr>
      <w:bookmarkStart w:id="28" w:name="_Toc513029211"/>
      <w:bookmarkStart w:id="29" w:name="_Toc16938527"/>
      <w:bookmarkStart w:id="30" w:name="_Toc20823283"/>
      <w:bookmarkStart w:id="31" w:name="_Toc462564070"/>
      <w:r>
        <w:rPr>
          <w:rFonts w:ascii="仿宋" w:hAnsi="仿宋" w:eastAsia="仿宋"/>
          <w:color w:val="auto"/>
          <w:sz w:val="24"/>
          <w:szCs w:val="24"/>
          <w:highlight w:val="none"/>
        </w:rPr>
        <w:t>2.比选文件的澄清</w:t>
      </w:r>
      <w:bookmarkEnd w:id="28"/>
      <w:bookmarkEnd w:id="29"/>
      <w:bookmarkEnd w:id="30"/>
      <w:bookmarkEnd w:id="31"/>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任何要求对比选文件进行澄清的供应商，应在提交首次响应文件截止时间五日前按比选公告中的通讯地址，以书面形式通知采购人。采购人有权对发出的比选文件进行必要的澄清或修改。</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pPr>
        <w:pStyle w:val="7"/>
        <w:spacing w:before="0" w:after="0" w:line="360" w:lineRule="auto"/>
        <w:rPr>
          <w:rFonts w:hint="eastAsia" w:ascii="仿宋" w:hAnsi="仿宋" w:eastAsia="仿宋"/>
          <w:color w:val="auto"/>
          <w:sz w:val="24"/>
          <w:szCs w:val="24"/>
          <w:highlight w:val="none"/>
        </w:rPr>
      </w:pPr>
      <w:bookmarkStart w:id="32" w:name="_Toc20823284"/>
      <w:bookmarkStart w:id="33" w:name="_Toc462564071"/>
      <w:bookmarkStart w:id="34" w:name="_Toc513029212"/>
      <w:bookmarkStart w:id="35" w:name="_Toc16938528"/>
      <w:r>
        <w:rPr>
          <w:rFonts w:ascii="仿宋" w:hAnsi="仿宋" w:eastAsia="仿宋"/>
          <w:color w:val="auto"/>
          <w:sz w:val="24"/>
          <w:szCs w:val="24"/>
          <w:highlight w:val="none"/>
        </w:rPr>
        <w:t>3.比选文件的修改</w:t>
      </w:r>
      <w:bookmarkEnd w:id="32"/>
      <w:bookmarkEnd w:id="33"/>
      <w:bookmarkEnd w:id="34"/>
      <w:bookmarkEnd w:id="35"/>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可以对比选文件进行修改。</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3.2 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有权按照法定的要求推迟响应文件提交截止日期和比选日期。</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3.3 比选文件的修改将在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公布，补充文件将作为比选文件的组成部分，并对供应商具有约束力。</w:t>
      </w:r>
    </w:p>
    <w:p>
      <w:pPr>
        <w:pStyle w:val="6"/>
        <w:spacing w:before="0" w:after="0" w:line="360" w:lineRule="auto"/>
        <w:rPr>
          <w:rFonts w:hint="eastAsia" w:ascii="仿宋" w:hAnsi="仿宋" w:eastAsia="仿宋"/>
          <w:color w:val="auto"/>
          <w:sz w:val="24"/>
          <w:szCs w:val="24"/>
          <w:highlight w:val="none"/>
        </w:rPr>
      </w:pPr>
      <w:bookmarkStart w:id="36" w:name="_Toc20823285"/>
      <w:bookmarkStart w:id="37" w:name="_Toc120614216"/>
      <w:bookmarkStart w:id="38" w:name="_Toc16938529"/>
      <w:bookmarkStart w:id="39" w:name="_Toc462564072"/>
      <w:bookmarkStart w:id="40" w:name="_Toc513029213"/>
      <w:r>
        <w:rPr>
          <w:rFonts w:ascii="仿宋" w:hAnsi="仿宋" w:eastAsia="仿宋"/>
          <w:color w:val="auto"/>
          <w:sz w:val="24"/>
          <w:szCs w:val="24"/>
          <w:highlight w:val="none"/>
        </w:rPr>
        <w:t>（三）响应文件的编制</w:t>
      </w:r>
      <w:bookmarkEnd w:id="36"/>
      <w:bookmarkEnd w:id="37"/>
      <w:bookmarkEnd w:id="38"/>
      <w:bookmarkEnd w:id="39"/>
      <w:bookmarkEnd w:id="40"/>
    </w:p>
    <w:p>
      <w:pPr>
        <w:pStyle w:val="7"/>
        <w:spacing w:before="0" w:after="0" w:line="360" w:lineRule="auto"/>
        <w:rPr>
          <w:rFonts w:hint="eastAsia" w:ascii="仿宋" w:hAnsi="仿宋" w:eastAsia="仿宋"/>
          <w:color w:val="auto"/>
          <w:sz w:val="24"/>
          <w:szCs w:val="24"/>
          <w:highlight w:val="none"/>
        </w:rPr>
      </w:pPr>
      <w:bookmarkStart w:id="41" w:name="_Toc513029214"/>
      <w:bookmarkStart w:id="42" w:name="_Toc16938530"/>
      <w:bookmarkStart w:id="43" w:name="_Toc462564073"/>
      <w:bookmarkStart w:id="44" w:name="_Toc20823286"/>
      <w:r>
        <w:rPr>
          <w:rFonts w:ascii="仿宋" w:hAnsi="仿宋" w:eastAsia="仿宋"/>
          <w:color w:val="auto"/>
          <w:sz w:val="24"/>
          <w:szCs w:val="24"/>
          <w:highlight w:val="none"/>
        </w:rPr>
        <w:t>1.响应文件的语言及度量衡单位</w:t>
      </w:r>
      <w:bookmarkEnd w:id="41"/>
      <w:bookmarkEnd w:id="42"/>
      <w:bookmarkEnd w:id="43"/>
      <w:bookmarkEnd w:id="44"/>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供应商提交的响应文件以及供应商与采购人就有关比选的所有来往通知、函件和文件均应使用简体中文。</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pPr>
        <w:pStyle w:val="7"/>
        <w:spacing w:before="0" w:after="0" w:line="360" w:lineRule="auto"/>
        <w:rPr>
          <w:rFonts w:hint="eastAsia" w:ascii="仿宋" w:hAnsi="仿宋" w:eastAsia="仿宋"/>
          <w:color w:val="auto"/>
          <w:sz w:val="24"/>
          <w:szCs w:val="24"/>
          <w:highlight w:val="none"/>
        </w:rPr>
      </w:pPr>
      <w:bookmarkStart w:id="45" w:name="_Toc513029215"/>
      <w:bookmarkStart w:id="46" w:name="_Toc16938531"/>
      <w:bookmarkStart w:id="47" w:name="_Toc462564074"/>
      <w:bookmarkStart w:id="48" w:name="_Toc20823287"/>
      <w:r>
        <w:rPr>
          <w:rFonts w:ascii="仿宋" w:hAnsi="仿宋" w:eastAsia="仿宋"/>
          <w:color w:val="auto"/>
          <w:sz w:val="24"/>
          <w:szCs w:val="24"/>
          <w:highlight w:val="none"/>
        </w:rPr>
        <w:t>2.响应文件构成</w:t>
      </w:r>
      <w:bookmarkEnd w:id="45"/>
      <w:bookmarkEnd w:id="46"/>
      <w:bookmarkEnd w:id="47"/>
      <w:bookmarkEnd w:id="48"/>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每标段响应文件由：①资格审查文件、②技术响应文件、③商务报价响应文件共三部分组成（以下由文件序号代称）。</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2响应文件均为一式叁份，其中“正本”壹份和“副本”贰份。</w:t>
      </w:r>
    </w:p>
    <w:p>
      <w:pPr>
        <w:widowControl/>
        <w:shd w:val="clear" w:color="auto" w:fill="FFFFFF"/>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特别提醒：如供应商参与本项目多个标段的投标，响应文件的“①资格审查文件、②技术响应文件、③商务报价”应按标段分别提供，并在封袋上标明标段号。</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3在每份响应文件上要明确标注项目名称、标段号、对应的响应文件名称、供应商的全称、日期、“正本”、“副本”字样。“正本”和“副本”若有差异，概以“正本”为准。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4供应商可将响应文件正副本统一密封或分别密封，如正本和副本分别密封的，应在封袋上标明正、副本字样。</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5响应文件中的所有“正本”，其正文内容须按磋商文件要求由供应商法定代表人或被授权人签字（或盖章）并加盖单位公章。“副本”可复印，但须加盖单位公章</w:t>
      </w:r>
      <w:r>
        <w:rPr>
          <w:rFonts w:ascii="仿宋" w:hAnsi="仿宋" w:eastAsia="仿宋" w:cs="仿宋"/>
          <w:color w:val="auto"/>
          <w:sz w:val="24"/>
          <w:szCs w:val="24"/>
          <w:highlight w:val="none"/>
        </w:rPr>
        <w:t>。</w:t>
      </w:r>
    </w:p>
    <w:p>
      <w:pPr>
        <w:pStyle w:val="7"/>
        <w:spacing w:before="0" w:after="0" w:line="360" w:lineRule="auto"/>
        <w:rPr>
          <w:rFonts w:hint="eastAsia" w:ascii="仿宋" w:hAnsi="仿宋" w:eastAsia="仿宋"/>
          <w:color w:val="auto"/>
          <w:sz w:val="24"/>
          <w:szCs w:val="24"/>
          <w:highlight w:val="none"/>
        </w:rPr>
      </w:pPr>
      <w:bookmarkStart w:id="49" w:name="_Hlt26954838"/>
      <w:bookmarkEnd w:id="49"/>
      <w:bookmarkStart w:id="50" w:name="_Hlt26670360"/>
      <w:bookmarkEnd w:id="50"/>
      <w:bookmarkStart w:id="51" w:name="_Hlt26668975"/>
      <w:bookmarkEnd w:id="51"/>
      <w:bookmarkStart w:id="52" w:name="_Toc14577360"/>
      <w:bookmarkStart w:id="53" w:name="_Toc49090511"/>
      <w:r>
        <w:rPr>
          <w:rFonts w:ascii="仿宋" w:hAnsi="仿宋" w:eastAsia="仿宋"/>
          <w:color w:val="auto"/>
          <w:sz w:val="24"/>
          <w:szCs w:val="24"/>
          <w:highlight w:val="none"/>
        </w:rPr>
        <w:t>3.</w:t>
      </w:r>
      <w:bookmarkEnd w:id="52"/>
      <w:bookmarkEnd w:id="53"/>
      <w:r>
        <w:rPr>
          <w:rFonts w:ascii="仿宋" w:hAnsi="仿宋" w:eastAsia="仿宋"/>
          <w:color w:val="auto"/>
          <w:sz w:val="24"/>
          <w:szCs w:val="24"/>
          <w:highlight w:val="none"/>
        </w:rPr>
        <w:t>比选响应有效期</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比选响应有效期为采购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构</w:t>
      </w:r>
      <w:r>
        <w:rPr>
          <w:rFonts w:ascii="仿宋" w:hAnsi="仿宋" w:eastAsia="仿宋" w:cs="仿宋"/>
          <w:color w:val="auto"/>
          <w:sz w:val="24"/>
          <w:szCs w:val="24"/>
          <w:highlight w:val="none"/>
        </w:rPr>
        <w:t>规定的响应文件提交截止时间后六十（60）天。比选响应有效期比规定短的将被视为非实质性响应而予以拒绝。</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4.比选响应有效期的延长</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在特殊情况下，采购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于原比选响应有效期满之前，可向比选供应商提出延长比选响应有效期的要求。这种要求与答复均应采用书面形式。供应商可以拒绝采购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的这一要求而放弃比选响应，同意延长比选响应有效期的供应商既不能要求也不允许修改其响应文件。受比选响应有效期约束的所有权利与义务均延长至新的有效期。</w:t>
      </w:r>
    </w:p>
    <w:p>
      <w:pPr>
        <w:pStyle w:val="6"/>
        <w:spacing w:before="0" w:after="0" w:line="360" w:lineRule="auto"/>
        <w:rPr>
          <w:rFonts w:hint="eastAsia" w:ascii="仿宋" w:hAnsi="仿宋" w:eastAsia="仿宋"/>
          <w:color w:val="auto"/>
          <w:sz w:val="24"/>
          <w:szCs w:val="24"/>
          <w:highlight w:val="none"/>
        </w:rPr>
      </w:pPr>
      <w:bookmarkStart w:id="54" w:name="_Hlt26954739"/>
      <w:bookmarkEnd w:id="54"/>
      <w:bookmarkStart w:id="55" w:name="_Hlt26954852"/>
      <w:bookmarkEnd w:id="55"/>
      <w:bookmarkStart w:id="56" w:name="_Toc20823296"/>
      <w:bookmarkStart w:id="57" w:name="_Toc16938540"/>
      <w:bookmarkStart w:id="58" w:name="_Toc513029224"/>
      <w:bookmarkStart w:id="59" w:name="_Toc120614217"/>
      <w:r>
        <w:rPr>
          <w:rFonts w:ascii="仿宋" w:hAnsi="仿宋" w:eastAsia="仿宋"/>
          <w:color w:val="auto"/>
          <w:sz w:val="24"/>
          <w:szCs w:val="24"/>
          <w:highlight w:val="none"/>
        </w:rPr>
        <w:t>（四）响应文件的提交</w:t>
      </w:r>
      <w:bookmarkEnd w:id="56"/>
      <w:bookmarkEnd w:id="57"/>
      <w:bookmarkEnd w:id="58"/>
      <w:bookmarkEnd w:id="59"/>
    </w:p>
    <w:p>
      <w:pPr>
        <w:pStyle w:val="7"/>
        <w:spacing w:before="0" w:after="0" w:line="360" w:lineRule="auto"/>
        <w:rPr>
          <w:rFonts w:hint="eastAsia" w:ascii="仿宋" w:hAnsi="仿宋" w:eastAsia="仿宋"/>
          <w:color w:val="auto"/>
          <w:sz w:val="24"/>
          <w:szCs w:val="24"/>
          <w:highlight w:val="none"/>
        </w:rPr>
      </w:pPr>
      <w:bookmarkStart w:id="60" w:name="_Toc16938541"/>
      <w:bookmarkStart w:id="61" w:name="_Toc462564084"/>
      <w:bookmarkStart w:id="62" w:name="_Toc20823297"/>
      <w:bookmarkStart w:id="63" w:name="_Toc513029225"/>
      <w:r>
        <w:rPr>
          <w:rFonts w:ascii="仿宋" w:hAnsi="仿宋" w:eastAsia="仿宋"/>
          <w:color w:val="auto"/>
          <w:sz w:val="24"/>
          <w:szCs w:val="24"/>
          <w:highlight w:val="none"/>
        </w:rPr>
        <w:t>1.</w:t>
      </w:r>
      <w:bookmarkEnd w:id="60"/>
      <w:bookmarkEnd w:id="61"/>
      <w:bookmarkEnd w:id="62"/>
      <w:bookmarkEnd w:id="63"/>
      <w:r>
        <w:rPr>
          <w:rFonts w:hint="eastAsia" w:ascii="仿宋" w:hAnsi="仿宋" w:eastAsia="仿宋"/>
          <w:color w:val="auto"/>
          <w:sz w:val="24"/>
          <w:szCs w:val="24"/>
          <w:highlight w:val="none"/>
        </w:rPr>
        <w:t>响应文件的密封及标记</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供应商须将本项目响应文件</w:t>
      </w:r>
      <w:r>
        <w:rPr>
          <w:rFonts w:hint="eastAsia" w:ascii="仿宋" w:hAnsi="仿宋" w:eastAsia="仿宋" w:cs="仿宋"/>
          <w:color w:val="auto"/>
          <w:sz w:val="24"/>
          <w:szCs w:val="24"/>
          <w:highlight w:val="none"/>
          <w:lang w:val="en-US" w:eastAsia="zh-CN"/>
        </w:rPr>
        <w:t>按标段将</w:t>
      </w:r>
      <w:r>
        <w:rPr>
          <w:rFonts w:hint="eastAsia" w:ascii="仿宋" w:hAnsi="仿宋" w:eastAsia="仿宋" w:cs="仿宋"/>
          <w:color w:val="auto"/>
          <w:sz w:val="24"/>
          <w:szCs w:val="24"/>
          <w:highlight w:val="none"/>
        </w:rPr>
        <w:t>①、②、③单独密封。</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1.2密封后，应在每一密封的响应文件上明确标注磋商项目名称、响应文件各自对应的名称、供应商的全称及日期。</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1.3在边缝处加盖供应商公章或骑缝签字。</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【特别提醒】响应文件中的①和②的“正本”或“副本”中，均不得含有③商务报价响应文件中报价表（报价单）内的任何项目价格，否则作无效投标处理</w:t>
      </w:r>
      <w:r>
        <w:rPr>
          <w:rFonts w:ascii="仿宋" w:hAnsi="仿宋" w:eastAsia="仿宋" w:cs="仿宋"/>
          <w:color w:val="auto"/>
          <w:sz w:val="24"/>
          <w:szCs w:val="24"/>
          <w:highlight w:val="none"/>
        </w:rPr>
        <w:t>。</w:t>
      </w:r>
      <w:bookmarkStart w:id="64" w:name="_Toc16938542"/>
      <w:bookmarkStart w:id="65" w:name="_Toc20823298"/>
      <w:bookmarkStart w:id="66" w:name="_Toc513029226"/>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4"/>
      <w:bookmarkEnd w:id="65"/>
      <w:bookmarkEnd w:id="66"/>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响应文件的时间不得迟于比选公告中规定的响应文件提交截止时间。</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pPr>
        <w:pStyle w:val="7"/>
        <w:spacing w:before="0" w:after="0" w:line="360" w:lineRule="auto"/>
        <w:rPr>
          <w:rFonts w:hint="eastAsia" w:ascii="仿宋" w:hAnsi="仿宋" w:eastAsia="仿宋"/>
          <w:color w:val="auto"/>
          <w:sz w:val="24"/>
          <w:szCs w:val="24"/>
          <w:highlight w:val="none"/>
        </w:rPr>
      </w:pPr>
      <w:bookmarkStart w:id="67" w:name="_Toc513029227"/>
      <w:bookmarkStart w:id="68" w:name="_Toc20823299"/>
      <w:bookmarkStart w:id="69" w:name="_Toc16938543"/>
      <w:r>
        <w:rPr>
          <w:rFonts w:ascii="仿宋" w:hAnsi="仿宋" w:eastAsia="仿宋"/>
          <w:color w:val="auto"/>
          <w:sz w:val="24"/>
          <w:szCs w:val="24"/>
          <w:highlight w:val="none"/>
        </w:rPr>
        <w:t>3.响应文件</w:t>
      </w:r>
      <w:bookmarkEnd w:id="67"/>
      <w:bookmarkEnd w:id="68"/>
      <w:bookmarkEnd w:id="69"/>
      <w:r>
        <w:rPr>
          <w:rFonts w:ascii="仿宋" w:hAnsi="仿宋" w:eastAsia="仿宋"/>
          <w:color w:val="auto"/>
          <w:sz w:val="24"/>
          <w:szCs w:val="24"/>
          <w:highlight w:val="none"/>
        </w:rPr>
        <w:t>的拒收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pPr>
        <w:pStyle w:val="7"/>
        <w:spacing w:before="0" w:after="0" w:line="360" w:lineRule="auto"/>
        <w:rPr>
          <w:rFonts w:hint="eastAsia" w:ascii="仿宋" w:hAnsi="仿宋" w:eastAsia="仿宋"/>
          <w:color w:val="auto"/>
          <w:sz w:val="24"/>
          <w:szCs w:val="24"/>
          <w:highlight w:val="none"/>
        </w:rPr>
      </w:pPr>
      <w:bookmarkStart w:id="70" w:name="_Toc513029228"/>
      <w:bookmarkStart w:id="71" w:name="_Toc16938544"/>
      <w:bookmarkStart w:id="72" w:name="_Toc20823300"/>
      <w:r>
        <w:rPr>
          <w:rFonts w:ascii="仿宋" w:hAnsi="仿宋" w:eastAsia="仿宋"/>
          <w:color w:val="auto"/>
          <w:sz w:val="24"/>
          <w:szCs w:val="24"/>
          <w:highlight w:val="none"/>
        </w:rPr>
        <w:t>4.响应文件的撤回和修改</w:t>
      </w:r>
      <w:bookmarkEnd w:id="70"/>
      <w:bookmarkEnd w:id="71"/>
      <w:bookmarkEnd w:id="72"/>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供应商撤回响应文件，则认为其不再参与本项目比选活动。</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比选</w:t>
      </w:r>
      <w:r>
        <w:rPr>
          <w:rFonts w:ascii="仿宋" w:hAnsi="仿宋" w:eastAsia="仿宋" w:cs="仿宋"/>
          <w:color w:val="auto"/>
          <w:sz w:val="24"/>
          <w:szCs w:val="24"/>
          <w:highlight w:val="none"/>
        </w:rPr>
        <w:t>文件中规定的比选响应有效期满之间的这段时间内，供应商不得撤回其响应文件。</w:t>
      </w:r>
    </w:p>
    <w:p>
      <w:pPr>
        <w:pStyle w:val="6"/>
        <w:spacing w:before="0" w:after="0" w:line="360" w:lineRule="auto"/>
        <w:rPr>
          <w:rFonts w:hint="eastAsia" w:ascii="仿宋" w:hAnsi="仿宋" w:eastAsia="仿宋"/>
          <w:color w:val="auto"/>
          <w:sz w:val="24"/>
          <w:szCs w:val="24"/>
          <w:highlight w:val="none"/>
        </w:rPr>
      </w:pPr>
      <w:bookmarkStart w:id="73" w:name="_Toc16938545"/>
      <w:bookmarkStart w:id="74" w:name="_Toc20823301"/>
      <w:bookmarkStart w:id="75" w:name="_Toc120614218"/>
      <w:bookmarkStart w:id="76" w:name="_Toc513029229"/>
      <w:r>
        <w:rPr>
          <w:rFonts w:ascii="仿宋" w:hAnsi="仿宋" w:eastAsia="仿宋"/>
          <w:color w:val="auto"/>
          <w:sz w:val="24"/>
          <w:szCs w:val="24"/>
          <w:highlight w:val="none"/>
        </w:rPr>
        <w:t>（五）</w:t>
      </w:r>
      <w:bookmarkEnd w:id="73"/>
      <w:bookmarkEnd w:id="74"/>
      <w:bookmarkEnd w:id="75"/>
      <w:bookmarkEnd w:id="76"/>
      <w:bookmarkStart w:id="77" w:name="_Toc16938546"/>
      <w:bookmarkStart w:id="78" w:name="_Toc513029230"/>
      <w:bookmarkStart w:id="79" w:name="_Toc20823302"/>
      <w:r>
        <w:rPr>
          <w:rFonts w:ascii="仿宋" w:hAnsi="仿宋" w:eastAsia="仿宋"/>
          <w:color w:val="auto"/>
          <w:sz w:val="24"/>
          <w:szCs w:val="24"/>
          <w:highlight w:val="none"/>
        </w:rPr>
        <w:t>比选与评审</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1.比选仪式</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 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将在比选公告中规定的时间和地点组织比选开始仪式。供应商应当参加比选活动。</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比选活动由采购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组织，比选</w:t>
      </w:r>
      <w:r>
        <w:rPr>
          <w:rFonts w:hint="eastAsia" w:ascii="仿宋" w:hAnsi="仿宋" w:eastAsia="仿宋" w:cs="仿宋"/>
          <w:color w:val="auto"/>
          <w:sz w:val="24"/>
          <w:szCs w:val="24"/>
          <w:highlight w:val="none"/>
        </w:rPr>
        <w:t>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2.比选小组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比选开始仪式结束后，采购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将立即组织比选小组进行评审。</w:t>
      </w:r>
    </w:p>
    <w:p>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比选小组由采购人代表和评审专家共3人以上单数组成，其中评审专家人数不得少于比选小组成员总数的2/3。采购人不得以评审专家身份参加本部门或本单位采购项目的评审。</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2.3 超过公开招标限额标准的项目，比选小组应当由5人以上单数组成。</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2.4 </w:t>
      </w:r>
      <w:r>
        <w:rPr>
          <w:rFonts w:hint="eastAsia" w:ascii="仿宋" w:hAnsi="仿宋" w:eastAsia="仿宋" w:cs="仿宋"/>
          <w:color w:val="auto"/>
          <w:sz w:val="24"/>
          <w:szCs w:val="24"/>
          <w:highlight w:val="none"/>
        </w:rPr>
        <w:t>限额以上项目</w:t>
      </w:r>
      <w:r>
        <w:rPr>
          <w:rFonts w:ascii="仿宋" w:hAnsi="仿宋" w:eastAsia="仿宋" w:cs="仿宋"/>
          <w:color w:val="auto"/>
          <w:sz w:val="24"/>
          <w:szCs w:val="24"/>
          <w:highlight w:val="none"/>
        </w:rPr>
        <w:t>采用比选的采购项目，评审专家应当从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比选采购项目，评审专家中应当包含1名法律专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 比选小组独立工作，负责评审所有响应文件并确定成交</w:t>
      </w:r>
      <w:r>
        <w:rPr>
          <w:rFonts w:hint="eastAsia" w:ascii="仿宋" w:hAnsi="仿宋" w:eastAsia="仿宋" w:cs="仿宋"/>
          <w:color w:val="auto"/>
          <w:sz w:val="24"/>
          <w:szCs w:val="24"/>
          <w:highlight w:val="none"/>
        </w:rPr>
        <w:t>候选人</w:t>
      </w:r>
      <w:r>
        <w:rPr>
          <w:rFonts w:ascii="仿宋" w:hAnsi="仿宋" w:eastAsia="仿宋" w:cs="仿宋"/>
          <w:color w:val="auto"/>
          <w:sz w:val="24"/>
          <w:szCs w:val="24"/>
          <w:highlight w:val="none"/>
        </w:rPr>
        <w:t>。</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3.比选评审过程的保密与公正</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3.1 比选小组、采购人、相关监督人员等与评审工作有关的人员，对评审情况以及在评审过程中获悉的国家秘密、商业秘密负有保密责任。</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3.2 在比选评审过程中，比选供应商不得以任何行为影响比选评审过程，否则其响应文件将被作为无效响应文件。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3.3 比选小组成员应当按照客观、公正、审慎的原则，根据比选文件规定的评审程序、评审方法和评审标准进行独立评审。未实质性响应比选文件的响应文件按无效响应处理，比选小组应当告知提交响应文件的供应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评审开始后，直至向成交供应商授予合同时止，凡是与审查、澄清、评价和比较响应的有关资料以及授标建议等，采购人、比选小组均不得向供应商或与评标无关的其他人员透露。</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3.5 在评审期间，采购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将设专门人员与供应商联系。</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3.6 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和评审小组不向未成交的供应商解释未成交原因，也不公布评审过程中的相关细节。</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3.7 </w:t>
      </w:r>
      <w:r>
        <w:rPr>
          <w:rFonts w:hint="eastAsia" w:ascii="仿宋" w:hAnsi="仿宋" w:eastAsia="仿宋" w:cs="仿宋"/>
          <w:color w:val="auto"/>
          <w:sz w:val="24"/>
          <w:szCs w:val="24"/>
          <w:highlight w:val="none"/>
        </w:rPr>
        <w:t>采用综合评分法的项目，公布评标结果时一并公布所有供应商的评审得分及排序情况。</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评审期间，为有助于对响应文件的审查、评价和比较，比选小组有权以电子函件形式要求响应人对其响应文件进行澄清，但并非对每个供应商都作澄清要求。</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4.2 接到比选小组澄清要求的供应商应派人按比选小组规定的时间和格式做出澄清，澄清的内容作为响应文件的补充部分，但实质性的内容不得做任何更改。</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4.3 接到比选小组澄清要求的供应商如未按规定做出澄清，其风险由供应商自行承担。</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5.对响应文件的初审</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资格性检查：依据法律法规和比选文件的规定，由采购人对响应文件中的资格审查证明材料进行审查，资格审查的结论，采购人以书面形式向比选小组进行反馈。</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符合性审查：依据比选文件的规定，由比选小组从响应文件的有效性、完整性和对比选文件的响应程度进行审查，以确定是否对比选文件的实质性要求作出响应。</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将告知未通过资格审查或符合性审查的原因，评审结束后，采购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将不再告知未通过资格审查或符合性审查的原因。</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5.2 在正式比选之前，比选小组将首先审查每份响应文件是否实质性响应了比选文件的要求。实质性响应的响应文件应该是与比选文件要求的全部条款、条件和规格相符，没有重大负偏离或保留。</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比选文件规定的实质性要求存在负偏离，或者在实质上与比选文件不一致，而且限制了合同中买方和见证方的权利或供应商的义务，纠正这些偏离或保留将会对其他实质性响应要求的供应商的竞争地位产生不公正的影响。重大偏离由比选小组按照少数服从多数的原则认定。比选小组决定响应文件的响应性只根据响应文件本身的内容，而不寻求外部的证据。</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如果响应文件实质上没有响应比选文件的要求，比选小组将予以拒绝，供应商不得通过修改或撤销不合要求的偏离或保留而使其响应文件成为实质性响应的文件。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5.4 比选小组将对确定为实质性响应的文件进行进一步审核，看其是否有计算上或累加上的算术错误，修正错误的原则如下：</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（1）响应文件中报价总表内容与响应文件中相应内容不一致的，以报价总表为准。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（2）大写金额和小写金额不一致的，以大写金额为准。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（3）单价金额小数点或者百分比有明显错位的，以报价总表的总价为准，并修改单价。</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（4）总价金额与按单价汇总金额不一致的，以单价金额计算结果为准。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同时出现两种以上错误的，按照前款规定的顺序修正。</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5.5 比选小组将按上述修正错误的方法调整响应文件中的报价，并告知供应商，调整后的价格应对供应商具有约束力。如果供应商不接受修正后的价格，则其比选活动将被拒绝。</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5.6 比选小组将允许修正响应文件中不构成重大偏离的、微小的、非正规的、不一致的或不规则的地方，但这些修改不能影响任何供应商相应的名次排列。</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5.7 同一项目（项目未分包）或同一分包（项目有不同分包），如出现同一品牌同一型号的产品有多个供应商参加比选时，比选中在其他条件合格的前提下，选取首次报价最低的供应商参加比选最后报价，其他供应商作为无效响应处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8</w:t>
      </w:r>
      <w:r>
        <w:rPr>
          <w:rFonts w:ascii="仿宋" w:hAnsi="仿宋" w:eastAsia="仿宋" w:cs="仿宋"/>
          <w:color w:val="auto"/>
          <w:sz w:val="24"/>
          <w:szCs w:val="24"/>
          <w:highlight w:val="none"/>
        </w:rPr>
        <w:t xml:space="preserve"> 提供相同品牌产品且通过资格审查、符合性审查的不同供应商参加同一合同项下比选的，按一家供应商计算，评审后得分最高的同品牌供应商获得成交人推荐资格；评审得分相同的，由比选小组采取随机抽取的方式确定一个成交候选人，其他同品牌供应商不作为成交候选人。</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非单一产品采购项目，比选文件中将载明其中的核心产品。多家供应商提供的核心产品品牌相同的，按前款规定处理。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9</w:t>
      </w:r>
      <w:r>
        <w:rPr>
          <w:rFonts w:ascii="仿宋" w:hAnsi="仿宋" w:eastAsia="仿宋" w:cs="仿宋"/>
          <w:color w:val="auto"/>
          <w:sz w:val="24"/>
          <w:szCs w:val="24"/>
          <w:highlight w:val="none"/>
        </w:rPr>
        <w:t xml:space="preserve"> 供应商在评审全过程中应保持通讯畅通，并安排专人与采购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及比选小组联系。</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6.被认定为未实质性响应比选文件的响应文件的情形。</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6.1.4 不具备比选文件中规定的资格要求的。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不符合法律、法规和比选文件中规定的其他实质性要求的。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供应商被“信用中国”网站（www.creditchina.gov.cn）列入失信被执行人或重大税收违法案件当事人名单或采购严重失信行为记录名单。或查询“信用中国”网站后发现供应商存在其他不符合</w:t>
      </w:r>
      <w:r>
        <w:rPr>
          <w:rFonts w:hint="eastAsia" w:ascii="仿宋" w:hAnsi="仿宋" w:eastAsia="仿宋" w:cs="仿宋"/>
          <w:color w:val="auto"/>
          <w:sz w:val="24"/>
          <w:szCs w:val="24"/>
          <w:highlight w:val="none"/>
        </w:rPr>
        <w:t>相关</w:t>
      </w:r>
      <w:r>
        <w:rPr>
          <w:rFonts w:ascii="仿宋" w:hAnsi="仿宋" w:eastAsia="仿宋" w:cs="仿宋"/>
          <w:color w:val="auto"/>
          <w:sz w:val="24"/>
          <w:szCs w:val="24"/>
          <w:highlight w:val="none"/>
        </w:rPr>
        <w:t>规定条件的信用记录。</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 xml:space="preserve">6.1.10 </w:t>
      </w:r>
      <w:r>
        <w:rPr>
          <w:rFonts w:hint="eastAsia" w:ascii="仿宋" w:hAnsi="仿宋" w:eastAsia="仿宋" w:cs="仿宋"/>
          <w:color w:val="auto"/>
          <w:sz w:val="24"/>
          <w:szCs w:val="24"/>
          <w:highlight w:val="none"/>
        </w:rPr>
        <w:t>供应商不能证明其报价合理性的，比选小组应当将其作为无效响应处理。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（一）评审过程中出现下列情形之一的，比选小组应当启动异常低价响应审查程序：</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1.响应报价低于采购项目预算50%的，即响应报价&lt;采购项目预算×50%；</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2.响应报价低于采购项目最高限价45%的，即响应报价&lt;采购项目最高限价×45%；</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3.比选小组认定的供应商报价过低、有可能影响产品质量或者不能诚信履约的其他情形。</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启动异常低价响应审查后，比选小组应当要求相关供应商在评标现场合理的时间内，提供项目具体成本测算等与报价合理性相关的书面说明及相关证明材料，对响应价格作出解释，由比选小组结合同类产品在主要电商平台的价格、该行业当地薪资水平等情况，依据专业经验对供应商报价合理性进行判断。响应供应商不提供书面说明、证明材料，或者提供的书面说明、证明材料不能证明其报价合理性的，比选小组应当将其作为无效响应处理。审查相关情况应当在评审报告中进行记录。</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6.1.11 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6.1.12 响应文件未按照采购文件要求加盖签章。</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6.1.13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6.1.14</w:t>
      </w: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供应商的商务技术部分得分相差悬殊，评标委员会认为得分畸低者没有实质性响应的。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6.1.1</w:t>
      </w: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 其他法律、法规及本比选文件规定的属无效响应的情形。</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出现下列情形之一的，比选失败。</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符合条件的供应商或者对比选文件作实质响应的供应商不足3家的（市场竞争不充分的科研项目，以及需要扶持的科技成果转化项目可以是2家）；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6.2.4 比选小组认定比选文件存在歧义、重大缺陷导致评审工作无法进行。</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响应文件提交截止时间结束后参加比选的供应商不足三家的处理：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如出现响应文件提交截止时间结束后参加比选的供应商或者在评审期间对比选文件做出实质响应的供应商不足三家情况，按采购相关规定执行。</w:t>
      </w:r>
    </w:p>
    <w:bookmarkEnd w:id="77"/>
    <w:bookmarkEnd w:id="78"/>
    <w:bookmarkEnd w:id="79"/>
    <w:p>
      <w:pPr>
        <w:pStyle w:val="6"/>
        <w:spacing w:before="0" w:after="0" w:line="360" w:lineRule="auto"/>
        <w:rPr>
          <w:rFonts w:hint="eastAsia" w:ascii="仿宋" w:hAnsi="仿宋" w:eastAsia="仿宋"/>
          <w:color w:val="auto"/>
          <w:sz w:val="24"/>
          <w:szCs w:val="24"/>
          <w:highlight w:val="none"/>
        </w:rPr>
      </w:pPr>
      <w:bookmarkStart w:id="80" w:name="_Toc120614219"/>
      <w:r>
        <w:rPr>
          <w:rFonts w:ascii="仿宋" w:hAnsi="仿宋" w:eastAsia="仿宋"/>
          <w:color w:val="auto"/>
          <w:sz w:val="24"/>
          <w:szCs w:val="24"/>
          <w:highlight w:val="none"/>
        </w:rPr>
        <w:t>（六）</w:t>
      </w:r>
      <w:bookmarkEnd w:id="80"/>
      <w:r>
        <w:rPr>
          <w:rFonts w:ascii="仿宋" w:hAnsi="仿宋" w:eastAsia="仿宋"/>
          <w:color w:val="auto"/>
          <w:sz w:val="24"/>
          <w:szCs w:val="24"/>
          <w:highlight w:val="none"/>
        </w:rPr>
        <w:t>成交</w:t>
      </w:r>
    </w:p>
    <w:p>
      <w:pPr>
        <w:pStyle w:val="7"/>
        <w:spacing w:before="0" w:after="0" w:line="360" w:lineRule="auto"/>
        <w:rPr>
          <w:rFonts w:hint="eastAsia" w:ascii="仿宋" w:hAnsi="仿宋" w:eastAsia="仿宋"/>
          <w:color w:val="auto"/>
          <w:sz w:val="24"/>
          <w:szCs w:val="24"/>
          <w:highlight w:val="none"/>
        </w:rPr>
      </w:pPr>
      <w:bookmarkStart w:id="81" w:name="_Toc20823310"/>
      <w:bookmarkStart w:id="82" w:name="_Toc16938554"/>
      <w:r>
        <w:rPr>
          <w:rFonts w:ascii="仿宋" w:hAnsi="仿宋" w:eastAsia="仿宋"/>
          <w:color w:val="auto"/>
          <w:sz w:val="24"/>
          <w:szCs w:val="24"/>
          <w:highlight w:val="none"/>
        </w:rPr>
        <w:t>1.确定</w:t>
      </w:r>
      <w:bookmarkEnd w:id="81"/>
      <w:bookmarkEnd w:id="82"/>
      <w:r>
        <w:rPr>
          <w:rFonts w:ascii="仿宋" w:hAnsi="仿宋" w:eastAsia="仿宋"/>
          <w:color w:val="auto"/>
          <w:sz w:val="24"/>
          <w:szCs w:val="24"/>
          <w:highlight w:val="none"/>
        </w:rPr>
        <w:t>成交单位</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成交候选供应商的选取原则和数量见比选文件第四部分规定。</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采购人授权比选小组在成交候选供应商中直接确定成交供应商。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1.3 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1.4.2 向采购人行贿或者评审专家提供其他不正当利益的。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属于本文件规定的无效条件，但在评审过程中又未被比选小组发现的。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bookmarkStart w:id="83" w:name="_Toc200451960"/>
      <w:r>
        <w:rPr>
          <w:rFonts w:ascii="仿宋" w:hAnsi="仿宋" w:eastAsia="仿宋" w:cs="仿宋"/>
          <w:color w:val="auto"/>
          <w:sz w:val="24"/>
          <w:szCs w:val="24"/>
          <w:highlight w:val="none"/>
        </w:rPr>
        <w:t>1.5 有下列情形之一的，视为供应商串通参与比选，响应无效：</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不同供应商委托同一单位或者个人办理比选事宜；</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2.质疑处理</w:t>
      </w:r>
      <w:bookmarkEnd w:id="83"/>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提出质疑的供应商应当是参与所质疑项目采购活动的供应商。潜在供应商依法获取其可质疑的比选文件的，可以对比选文件提出质疑。</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供应商认为比选文件、采购过程和采购结果使自己的权益受到损害的，可以在知道或应知其权益受到损害之日起七个工作日内，以书面形式向采购人提出质疑。上述应知其权益受到损害之日，是指：</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对可以质疑的比选文件提出质疑的，为收到比选文件之日或者比选文件公告期限届满之日；</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质疑函必须按照本比选文件中《质疑函范本》要求的格式和内容进行填写。供应商如组成联合体参加比选，则《质疑函范本》中要求签字、盖章、加盖公章之处，联合体各方均须按要求签字、盖章、加盖公章。</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2.4 对采购方式、比选文件中项目需求、供应商资格条件、评审方法和评审标准、资格审查结果等应当由采购人答复的质疑，请向采购人提出，由采购人负责答复。供应商对其他事项的质疑，请向采购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提出，由采购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负责答复。</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采购人质疑接收人及联系方式，见比选文件第一部分。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2.5.1 内容不符合采购</w:t>
      </w:r>
      <w:r>
        <w:rPr>
          <w:rFonts w:hint="eastAsia" w:ascii="仿宋" w:hAnsi="仿宋" w:eastAsia="仿宋" w:cs="仿宋"/>
          <w:color w:val="auto"/>
          <w:sz w:val="24"/>
          <w:szCs w:val="24"/>
          <w:highlight w:val="none"/>
        </w:rPr>
        <w:t>相关</w:t>
      </w:r>
      <w:r>
        <w:rPr>
          <w:rFonts w:ascii="仿宋" w:hAnsi="仿宋" w:eastAsia="仿宋" w:cs="仿宋"/>
          <w:color w:val="auto"/>
          <w:sz w:val="24"/>
          <w:szCs w:val="24"/>
          <w:highlight w:val="none"/>
        </w:rPr>
        <w:t>规定的质疑。</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2.5.2 超出采购法定期限的质疑。</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2.5.3 未参加比选活动的供应商或在比选活动中自身权益未受到损害的供应商所提出的质疑。</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供应商组成联合体参加比选，联合体中任何一方或多方未按要求签字、盖章、加盖公章的质疑。</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有权依据采购的有关规定，报请采购监管部门对该供应商进行相应的行政处罚和记录该供应商的失信信息。</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3．成交通知书</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成交结果确定后，采购</w:t>
      </w:r>
      <w:r>
        <w:rPr>
          <w:rFonts w:hint="eastAsia" w:ascii="仿宋" w:hAnsi="仿宋" w:eastAsia="仿宋" w:cs="仿宋"/>
          <w:color w:val="auto"/>
          <w:sz w:val="24"/>
          <w:szCs w:val="24"/>
          <w:highlight w:val="none"/>
          <w:lang w:val="en-US" w:eastAsia="zh-CN"/>
        </w:rPr>
        <w:t>人</w:t>
      </w:r>
      <w:r>
        <w:rPr>
          <w:rFonts w:ascii="仿宋" w:hAnsi="仿宋" w:eastAsia="仿宋" w:cs="仿宋"/>
          <w:color w:val="auto"/>
          <w:sz w:val="24"/>
          <w:szCs w:val="24"/>
          <w:highlight w:val="none"/>
        </w:rPr>
        <w:t>将向成交供应商发出成交通知书。</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成交通知书将是合同的一个组成部分。对采购人和成交供应商均具有法律效力。成交通知书发出后，采购人改变成交结果的，或者成交供应商放弃比选项目的，应当依法承担法律责任。</w:t>
      </w:r>
    </w:p>
    <w:p>
      <w:pPr>
        <w:pStyle w:val="6"/>
        <w:spacing w:before="0" w:after="0" w:line="360" w:lineRule="auto"/>
        <w:rPr>
          <w:rFonts w:hint="eastAsia" w:ascii="仿宋" w:hAnsi="仿宋" w:eastAsia="仿宋"/>
          <w:color w:val="auto"/>
          <w:sz w:val="24"/>
          <w:szCs w:val="24"/>
          <w:highlight w:val="none"/>
        </w:rPr>
      </w:pPr>
      <w:bookmarkStart w:id="84" w:name="_Toc120614220"/>
      <w:bookmarkStart w:id="85" w:name="_Toc513029236"/>
      <w:bookmarkStart w:id="86" w:name="_Toc20823308"/>
      <w:bookmarkStart w:id="87" w:name="_Toc16938552"/>
      <w:r>
        <w:rPr>
          <w:rFonts w:ascii="仿宋" w:hAnsi="仿宋" w:eastAsia="仿宋"/>
          <w:color w:val="auto"/>
          <w:sz w:val="24"/>
          <w:szCs w:val="24"/>
          <w:highlight w:val="none"/>
        </w:rPr>
        <w:t>（七）授予合同</w:t>
      </w:r>
      <w:bookmarkEnd w:id="84"/>
    </w:p>
    <w:bookmarkEnd w:id="85"/>
    <w:bookmarkEnd w:id="86"/>
    <w:bookmarkEnd w:id="87"/>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1.签订合同</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成交供应商应当在成交通知书发出之日起三十日内，按照比选文件确定的事项与采购人签订采购合同。</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1.2 比选文件、成交供应商的响应文件及比选过程中有关澄清、承诺文件均应作为合同附件。</w:t>
      </w:r>
    </w:p>
    <w:p>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pPr>
        <w:widowControl/>
        <w:shd w:val="clear" w:color="auto" w:fill="FFFFFF"/>
        <w:spacing w:line="360" w:lineRule="auto"/>
        <w:ind w:firstLine="480" w:firstLineChars="200"/>
        <w:jc w:val="left"/>
        <w:rPr>
          <w:rFonts w:hint="default" w:eastAsia="仿宋"/>
          <w:color w:val="auto"/>
          <w:highlight w:val="none"/>
          <w:lang w:val="en-US" w:eastAsia="zh-CN"/>
        </w:rPr>
      </w:pPr>
      <w:r>
        <w:rPr>
          <w:rFonts w:hint="eastAsia" w:ascii="仿宋" w:hAnsi="仿宋" w:eastAsia="仿宋" w:cs="仿宋"/>
          <w:color w:val="auto"/>
          <w:sz w:val="24"/>
          <w:szCs w:val="24"/>
          <w:highlight w:val="none"/>
          <w:lang w:val="en-US" w:eastAsia="zh-CN"/>
        </w:rPr>
        <w:t>1.4每标段的成交供应商单独与采购人签订合同，其中一标段的成交供应商将分别与南通市财政局、南通市经济技术开发区财政局签订合同。</w:t>
      </w:r>
    </w:p>
    <w:p>
      <w:pPr>
        <w:pStyle w:val="7"/>
        <w:spacing w:before="0" w:after="0"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2.1 采购合同履行中，采购人需追加与合同标的相同的货物和服务的，在不改变合同其他条款的前提下，可以与成交供应商协商签订补充合同，但所有补充合同的采购金额不超过原合同金额10%。</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pPr>
        <w:widowControl/>
        <w:shd w:val="clear" w:color="auto" w:fill="FFFFFF"/>
        <w:spacing w:line="360" w:lineRule="auto"/>
        <w:ind w:firstLine="560" w:firstLineChars="200"/>
        <w:jc w:val="left"/>
        <w:rPr>
          <w:rFonts w:hint="eastAsia" w:ascii="仿宋" w:hAnsi="仿宋" w:eastAsia="仿宋"/>
          <w:color w:val="auto"/>
          <w:sz w:val="28"/>
          <w:szCs w:val="28"/>
          <w:highlight w:val="none"/>
        </w:rPr>
      </w:pPr>
      <w:r>
        <w:rPr>
          <w:rFonts w:ascii="仿宋" w:hAnsi="仿宋" w:eastAsia="仿宋"/>
          <w:color w:val="auto"/>
          <w:sz w:val="28"/>
          <w:szCs w:val="28"/>
          <w:highlight w:val="none"/>
        </w:rPr>
        <w:br w:type="page"/>
      </w:r>
    </w:p>
    <w:p>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比选文件项目需求说明中的技术、商务要求，必须作实事求是的响应。如供应商提供的货物和服务同采购人提出的项目需求说明中的技术、商务要求不同的，必须在《商务部分正负偏离表》和《技术部分正负偏离表》上明示。</w:t>
      </w:r>
    </w:p>
    <w:p>
      <w:pPr>
        <w:spacing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一、项目名称：</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公积金中心2025年度报表审计项目</w:t>
      </w:r>
    </w:p>
    <w:p>
      <w:pPr>
        <w:spacing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二、项目概述</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采购人委托中介机构开展公积金中心2025年度报表审计，由会计师事务所出具审计报告。</w:t>
      </w:r>
    </w:p>
    <w:p>
      <w:pPr>
        <w:spacing w:line="5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三、服务内容：</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公积金报表审计包括南通市住房公积金管理中心2025年度会计报表审计、售房资金专项审计、增值收益及分配专项审计。</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供应商出具审计报告及审计情况说明书，揭示实施审计的主要程序，包括但不限于测试公积金贷款利率与业务系统、国家公积金贷款利率是否一致，测试本部及县（市、区）分支机构公积金贷款是否按规定发放等；三是对优化公积金管理提出合理建议。</w:t>
      </w:r>
    </w:p>
    <w:p>
      <w:pPr>
        <w:spacing w:line="5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四、审计要求：</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按照相关规定的内容保质保量完成审计任务并出具审计报告，审计过程和结果应充分体现应有的专业技能，结果须公正、客观。成交单位出具的审核报告须符合相关规定。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遵守职业道德,对采购人提供的资料和审计结果,严守秘密.未经采购人同意,成交单位不得自行就被审计项目的事宜直接与被审计单位进行沟通，不得擅自向被审计单位及其他任何第三方透露审计情况。法律、法规另有规定的除外；</w:t>
      </w:r>
    </w:p>
    <w:p>
      <w:pPr>
        <w:spacing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项目负责人为从业5年以上注册会计师担任，其他审计人员从业年限需不低于三年</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项目组成员不少于三人（含项目负责人）</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成交单位出具的</w:t>
      </w:r>
      <w:r>
        <w:rPr>
          <w:rFonts w:hint="eastAsia" w:ascii="仿宋" w:hAnsi="仿宋" w:eastAsia="仿宋" w:cs="仿宋"/>
          <w:bCs/>
          <w:iCs/>
          <w:color w:val="auto"/>
          <w:sz w:val="24"/>
          <w:szCs w:val="24"/>
          <w:highlight w:val="none"/>
        </w:rPr>
        <w:t>审计</w:t>
      </w:r>
      <w:r>
        <w:rPr>
          <w:rFonts w:hint="eastAsia" w:ascii="仿宋" w:hAnsi="仿宋" w:eastAsia="仿宋" w:cs="仿宋"/>
          <w:color w:val="auto"/>
          <w:sz w:val="24"/>
          <w:szCs w:val="24"/>
          <w:highlight w:val="none"/>
        </w:rPr>
        <w:t>报告须符合相关规定。</w:t>
      </w:r>
    </w:p>
    <w:p>
      <w:pPr>
        <w:spacing w:line="56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五、合同履行期限</w:t>
      </w:r>
      <w:r>
        <w:rPr>
          <w:rFonts w:hint="eastAsia" w:ascii="仿宋" w:hAnsi="仿宋" w:eastAsia="仿宋" w:cs="仿宋"/>
          <w:b/>
          <w:color w:val="auto"/>
          <w:sz w:val="24"/>
          <w:szCs w:val="24"/>
          <w:highlight w:val="none"/>
          <w:lang w:val="zh-CN"/>
        </w:rPr>
        <w:t>：</w:t>
      </w:r>
      <w:r>
        <w:rPr>
          <w:rFonts w:hint="eastAsia" w:ascii="仿宋" w:hAnsi="仿宋" w:eastAsia="仿宋" w:cs="仿宋"/>
          <w:color w:val="auto"/>
          <w:sz w:val="24"/>
          <w:szCs w:val="24"/>
          <w:highlight w:val="none"/>
        </w:rPr>
        <w:t>自合同签订之日起20个工作日内完成审计工作并出具审计报告及审计情况说明书。</w:t>
      </w:r>
    </w:p>
    <w:p>
      <w:pPr>
        <w:spacing w:line="360" w:lineRule="auto"/>
        <w:ind w:firstLine="482" w:firstLineChars="20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六</w:t>
      </w:r>
      <w:r>
        <w:rPr>
          <w:rFonts w:hint="eastAsia" w:ascii="仿宋" w:hAnsi="仿宋" w:eastAsia="仿宋" w:cs="宋体"/>
          <w:b/>
          <w:bCs/>
          <w:color w:val="auto"/>
          <w:sz w:val="24"/>
          <w:szCs w:val="24"/>
          <w:highlight w:val="none"/>
        </w:rPr>
        <w:t>、分期考核及验收：</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1．在服务期间，可根据项目特点、项目进度对供应商服务实施情况进行分期考核，分期考核结果为项目最终验收的重要依据，供应商应做好相应配合工作。</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2．分期考核内容：包括履约情况、审计质量、管理建议、职业道德、协调机制五个方面。</w:t>
      </w:r>
    </w:p>
    <w:p>
      <w:pPr>
        <w:widowControl/>
        <w:jc w:val="left"/>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br w:type="page"/>
      </w:r>
    </w:p>
    <w:p>
      <w:pPr>
        <w:spacing w:line="360" w:lineRule="auto"/>
        <w:ind w:firstLine="482" w:firstLineChars="200"/>
        <w:jc w:val="center"/>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分期考核评分表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9"/>
        <w:gridCol w:w="1702"/>
        <w:gridCol w:w="3775"/>
        <w:gridCol w:w="856"/>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被考核人名称：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分项</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细目</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分值</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履约情况（36）</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项目负责人</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项目负责人在履约期间驻场工作时间不得少于必须驻场的工作日数，每少1日扣0.5分；未按时参加甲方工作会议的，每有一次扣1分。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审计人员配备（不包括项目负责人）</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4"/>
                <w:szCs w:val="24"/>
                <w:highlight w:val="none"/>
              </w:rPr>
            </w:pPr>
            <w:r>
              <w:rPr>
                <w:rFonts w:hint="eastAsia" w:ascii="仿宋" w:hAnsi="仿宋" w:eastAsia="仿宋" w:cs="宋体"/>
                <w:bCs/>
                <w:color w:val="auto"/>
                <w:sz w:val="24"/>
                <w:szCs w:val="24"/>
                <w:highlight w:val="none"/>
              </w:rPr>
              <w:t>审计人员按照合同要求配备到位，少1人扣1分，扣完为止。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Cs/>
                <w:color w:val="auto"/>
                <w:sz w:val="24"/>
                <w:szCs w:val="24"/>
                <w:highlight w:val="none"/>
              </w:rPr>
            </w:pP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审计人员在履约期间驻场工作时间不得少于必须驻场的工作日数，如有事情按规定请假，不得迟到、早退或者缺勤，若迟到、早退，发现一起扣0.5分，缺勤一次扣1分。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委托合同执行</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按采购合同条款执行，未经甲方同意的分包行为等情况，违反一项条款扣2分，扣完为止。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6</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按委托单位要求报送资料</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按采购合同条款执行，如发生未在要求交付时间内交付审计报告的，按延迟日数每日扣减1分，扣完为止。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审计质量（40）</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审计程序</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未按照审计规范或投标人提供的审计方案实施的，发现一项扣1分，扣完为止。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审计工作底稿</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审计底稿内容完整、记录清晰、结论明确，证据充分，同时具备纸质与电子底稿；每份底稿丢失、记录不完整的每发现一项扣2分，扣完为止。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8</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 w:hAnsi="仿宋" w:eastAsia="仿宋" w:cs="宋体"/>
                <w:bCs/>
                <w:color w:val="auto"/>
                <w:sz w:val="24"/>
                <w:szCs w:val="24"/>
                <w:highlight w:val="none"/>
                <w:lang w:val="en-US" w:eastAsia="zh-CN"/>
              </w:rPr>
            </w:pPr>
            <w:r>
              <w:rPr>
                <w:rFonts w:hint="eastAsia" w:ascii="仿宋" w:hAnsi="仿宋" w:eastAsia="仿宋" w:cs="宋体"/>
                <w:bCs/>
                <w:color w:val="auto"/>
                <w:sz w:val="24"/>
                <w:szCs w:val="24"/>
                <w:highlight w:val="none"/>
                <w:lang w:val="en-US" w:eastAsia="zh-CN"/>
              </w:rPr>
              <w:t>审计报告份数</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未按审计服务需求出具审计报告的，每有一份扣3分，超过两份该项不得分。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10</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审计档案</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审计档案完整、便于查找的不扣分，审计档案缺失的该项不得分。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无重大偏差</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审计结果无重大错误、偏差不扣分，每项指标偏差率超过10%扣1分，扣完为止。</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12</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管理建议（4）</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提出管理建议</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项目实施过程中能根据提出符合企业改革发展实际、有针对性、可操作性和指导性的建议。</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职业道德（10）</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无弄虚作假、串通舞弊等情况</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无弄虚作假、串通舞弊等情况不扣分，发现一起该项不得分。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审计工作客观、公正、坚持原则</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审计工作流程及审计结果存在不客观、不公正情况该项不得分。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4</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center"/>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数据安全及保密工作</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做好数据安全管理工作，保守被审计单位商业秘密，发现泄密情况该项不得分。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2</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2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协调机制（10）</w:t>
            </w: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与委托单位</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做好与相关单位审计工作协调沟通机制，审计过程中因审计单位原因与委托单位发生纠纷或口角，情节较轻的扣2分，情节严重的该项不得分。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宋体"/>
                <w:bCs/>
                <w:color w:val="auto"/>
                <w:sz w:val="24"/>
                <w:szCs w:val="24"/>
                <w:highlight w:val="none"/>
              </w:rPr>
            </w:pPr>
          </w:p>
        </w:tc>
        <w:tc>
          <w:tcPr>
            <w:tcW w:w="17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与被审计单位</w:t>
            </w:r>
          </w:p>
        </w:tc>
        <w:tc>
          <w:tcPr>
            <w:tcW w:w="3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做好与相关单位审计工作协调沟通机制，充分交换意见，审计过程中因审计单位原因与被审计单位发生纠纷或口角，情节较轻的扣2分，情节严重的该项不得分。</w:t>
            </w:r>
          </w:p>
        </w:tc>
        <w:tc>
          <w:tcPr>
            <w:tcW w:w="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5</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宋体"/>
                <w:bCs/>
                <w:color w:val="auto"/>
                <w:sz w:val="24"/>
                <w:szCs w:val="24"/>
                <w:highlight w:val="none"/>
              </w:rPr>
            </w:pPr>
            <w:r>
              <w:rPr>
                <w:rFonts w:hint="eastAsia" w:ascii="仿宋" w:hAnsi="仿宋" w:eastAsia="仿宋" w:cs="宋体"/>
                <w:bCs/>
                <w:color w:val="auto"/>
                <w:sz w:val="24"/>
                <w:szCs w:val="24"/>
                <w:highlight w:val="none"/>
              </w:rPr>
              <w:t>考核评分</w:t>
            </w:r>
          </w:p>
        </w:tc>
        <w:tc>
          <w:tcPr>
            <w:tcW w:w="715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center"/>
              <w:textAlignment w:val="auto"/>
              <w:rPr>
                <w:rFonts w:hint="eastAsia" w:ascii="仿宋" w:hAnsi="仿宋" w:eastAsia="仿宋"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7"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4"/>
                <w:szCs w:val="24"/>
                <w:highlight w:val="none"/>
              </w:rPr>
            </w:pPr>
            <w:r>
              <w:rPr>
                <w:rFonts w:hint="eastAsia" w:ascii="仿宋" w:hAnsi="仿宋" w:eastAsia="仿宋" w:cs="宋体"/>
                <w:bCs/>
                <w:color w:val="auto"/>
                <w:sz w:val="24"/>
                <w:szCs w:val="24"/>
                <w:highlight w:val="none"/>
              </w:rPr>
              <w:t>备注：在审计过程中有行贿受贿、徇私枉法，给甲方或被审计单位造成损失的，发现一次，整个单位考核为0分。</w:t>
            </w:r>
          </w:p>
        </w:tc>
      </w:tr>
    </w:tbl>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3．考核评分：由采购人或采购人委托的第三方专业机构对被考核对象进行独立考核得出考核评分。如被考核对象因行贿受贿、徇私枉法等给国家或被审计单位造成损失的，其考核评分为0分。</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4．分期考核结果应用：对考核得分≥80分的被考核对象，全额支付审计服务费；对80分＞考核得分≥60分的被考核对象，扣除20%审计服务费；对60分＞考核得分≥0分的被考核对象，扣除30%审计服务费。</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5．项目完成、审计报告出具后，经采购人确认符合相关规定后，供应商可申请履约验收。采购人原则上应在供应商提出验收申请后10个工作日内组织验收。</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6．采购人成立验收小组，按照采购合同的约定对供应商的履约情况进行验收。验收结束后，验收小组出具验收书，列明各项标准的验收情况及项目总体评价，由验收双方共同签署。验收结果与采购合同约定的资金支付条件挂钩。</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7．验收合格的项目，采购人根据采购合同的约定及时向供应商方支付合同款项。验收不合格的项目，采购人依法及时处理。采购合同的履行、违约责任和解决争议的方式等适用《民法典》。供应商在履约过程中有法律法规规定的违法违规情形的，采购人将依法处理。</w:t>
      </w:r>
    </w:p>
    <w:p>
      <w:pPr>
        <w:spacing w:line="360" w:lineRule="auto"/>
        <w:ind w:firstLine="482" w:firstLineChars="200"/>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lang w:val="en-US" w:eastAsia="zh-CN"/>
        </w:rPr>
        <w:t>七</w:t>
      </w:r>
      <w:r>
        <w:rPr>
          <w:rFonts w:hint="eastAsia" w:ascii="仿宋" w:hAnsi="仿宋" w:eastAsia="仿宋" w:cs="宋体"/>
          <w:b/>
          <w:bCs/>
          <w:color w:val="auto"/>
          <w:sz w:val="24"/>
          <w:szCs w:val="24"/>
          <w:highlight w:val="none"/>
        </w:rPr>
        <w:t>、付款条件及付款方式：</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1．付款条件：项目审计服务完成且审计报告经确认符合相关规定后，采购人根据采购合同并结合分期考核、项目验收结果核定服务费，供应商须向采购人提供等额的发票。若供应商未按合同约定及时提供发票，采购人有权拒绝付款，延迟付款责任由供应商自行承担。</w:t>
      </w:r>
    </w:p>
    <w:p>
      <w:pPr>
        <w:spacing w:line="360" w:lineRule="auto"/>
        <w:ind w:firstLine="480" w:firstLineChars="200"/>
        <w:rPr>
          <w:rFonts w:hint="eastAsia" w:ascii="仿宋" w:hAnsi="仿宋" w:eastAsia="仿宋" w:cs="宋体"/>
          <w:color w:val="auto"/>
          <w:sz w:val="24"/>
          <w:szCs w:val="24"/>
          <w:highlight w:val="none"/>
        </w:rPr>
      </w:pPr>
      <w:r>
        <w:rPr>
          <w:rFonts w:hint="eastAsia" w:ascii="仿宋" w:hAnsi="仿宋" w:eastAsia="仿宋" w:cs="宋体"/>
          <w:color w:val="auto"/>
          <w:sz w:val="24"/>
          <w:szCs w:val="24"/>
          <w:highlight w:val="none"/>
        </w:rPr>
        <w:t>2．付款方式：采购人在收到发票30个工作日内支付服务费。</w:t>
      </w:r>
    </w:p>
    <w:p>
      <w:pPr>
        <w:spacing w:line="360" w:lineRule="auto"/>
        <w:ind w:firstLine="480" w:firstLineChars="200"/>
        <w:rPr>
          <w:rFonts w:hint="eastAsia" w:ascii="仿宋" w:hAnsi="仿宋" w:eastAsia="仿宋"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宋体"/>
          <w:color w:val="auto"/>
          <w:sz w:val="28"/>
          <w:szCs w:val="28"/>
          <w:highlight w:val="none"/>
        </w:rPr>
      </w:pPr>
      <w:r>
        <w:rPr>
          <w:rFonts w:ascii="仿宋" w:hAnsi="仿宋" w:eastAsia="仿宋"/>
          <w:color w:val="auto"/>
          <w:highlight w:val="none"/>
        </w:rPr>
        <w:br w:type="page"/>
      </w:r>
    </w:p>
    <w:p>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一、比选方式</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现场提交响应文件。特殊情况下，采购人可以采用不见面远程比选模式，具体方式另行通知。</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二、比选程序及评审方法和标准</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1.评审方法：综合评分法，经比选确定最终采购需求和</w:t>
      </w:r>
      <w:r>
        <w:rPr>
          <w:rFonts w:hint="eastAsia" w:ascii="仿宋" w:hAnsi="仿宋" w:eastAsia="仿宋" w:cs="仿宋"/>
          <w:bCs/>
          <w:color w:val="auto"/>
          <w:sz w:val="24"/>
          <w:szCs w:val="24"/>
          <w:highlight w:val="none"/>
        </w:rPr>
        <w:t>投标</w:t>
      </w:r>
      <w:r>
        <w:rPr>
          <w:rFonts w:ascii="仿宋" w:hAnsi="仿宋" w:eastAsia="仿宋" w:cs="仿宋"/>
          <w:bCs/>
          <w:color w:val="auto"/>
          <w:sz w:val="24"/>
          <w:szCs w:val="24"/>
          <w:highlight w:val="none"/>
        </w:rPr>
        <w:t>报价的供应商后，由比选小组采用综合评分法对报价的供应商的响应文件和</w:t>
      </w:r>
      <w:r>
        <w:rPr>
          <w:rFonts w:hint="eastAsia" w:ascii="仿宋" w:hAnsi="仿宋" w:eastAsia="仿宋" w:cs="仿宋"/>
          <w:bCs/>
          <w:color w:val="auto"/>
          <w:sz w:val="24"/>
          <w:szCs w:val="24"/>
          <w:highlight w:val="none"/>
        </w:rPr>
        <w:t>投标</w:t>
      </w:r>
      <w:r>
        <w:rPr>
          <w:rFonts w:ascii="仿宋" w:hAnsi="仿宋" w:eastAsia="仿宋" w:cs="仿宋"/>
          <w:bCs/>
          <w:color w:val="auto"/>
          <w:sz w:val="24"/>
          <w:szCs w:val="24"/>
          <w:highlight w:val="none"/>
        </w:rPr>
        <w:t>报价进行综合评分。</w:t>
      </w:r>
    </w:p>
    <w:p>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综合评分法，是指响应文件满足比选文件全部实质性要求且按评审因素的量化指标评审得分最高的供应商为成交候选供应商的评审方法。评审时，比选小组各成员独立对每个有效响应的文件进行评价、打分，然后汇总每个供应商每项评分因素的得分。</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商务技术部分评审结束</w:t>
      </w:r>
      <w:r>
        <w:rPr>
          <w:rFonts w:hint="eastAsia" w:ascii="仿宋" w:hAnsi="仿宋" w:eastAsia="仿宋" w:cs="仿宋"/>
          <w:bCs/>
          <w:color w:val="auto"/>
          <w:sz w:val="24"/>
          <w:szCs w:val="24"/>
          <w:highlight w:val="none"/>
        </w:rPr>
        <w:t>后</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投标</w:t>
      </w:r>
      <w:r>
        <w:rPr>
          <w:rFonts w:ascii="仿宋" w:hAnsi="仿宋" w:eastAsia="仿宋" w:cs="仿宋"/>
          <w:bCs/>
          <w:color w:val="auto"/>
          <w:sz w:val="24"/>
          <w:szCs w:val="24"/>
          <w:highlight w:val="none"/>
        </w:rPr>
        <w:t>报价将作为评审价。</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供应商商务、技术部分和价格部分的合计分值，为该供应商的评审总得分。</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评委在认真审阅响应文件的基础上，根据各响应文件的响应程度独立评判，不得统一打分。</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（一）采购人（代表）对供应商资格进行审查。</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供应商资格不合格的，其响应文件判定为无效响应文件。</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（二）比选小组对符合资格供应商的响应文件进行符合性审查。</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未通过符合性审查的响应文件，将被判为不满足比选文件实质性要求。</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（三）商务技术分：</w:t>
      </w:r>
      <w:r>
        <w:rPr>
          <w:rFonts w:hint="eastAsia" w:ascii="仿宋" w:hAnsi="仿宋" w:eastAsia="仿宋" w:cs="仿宋"/>
          <w:bCs/>
          <w:color w:val="auto"/>
          <w:sz w:val="24"/>
          <w:szCs w:val="24"/>
          <w:highlight w:val="none"/>
        </w:rPr>
        <w:t>80</w:t>
      </w:r>
      <w:r>
        <w:rPr>
          <w:rFonts w:ascii="仿宋" w:hAnsi="仿宋" w:eastAsia="仿宋" w:cs="仿宋"/>
          <w:bCs/>
          <w:color w:val="auto"/>
          <w:sz w:val="24"/>
          <w:szCs w:val="24"/>
          <w:highlight w:val="none"/>
        </w:rPr>
        <w:t>分</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各供应商得分为比选小组成员评分的算术平均分，分值保留小数点后两位。</w:t>
      </w:r>
    </w:p>
    <w:tbl>
      <w:tblPr>
        <w:tblStyle w:val="16"/>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5"/>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评审项目</w:t>
            </w:r>
          </w:p>
        </w:tc>
        <w:tc>
          <w:tcPr>
            <w:tcW w:w="80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7404"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ind w:firstLine="482" w:firstLineChars="20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项目审计方案</w:t>
            </w:r>
          </w:p>
        </w:tc>
        <w:tc>
          <w:tcPr>
            <w:tcW w:w="80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30分</w:t>
            </w:r>
          </w:p>
        </w:tc>
        <w:tc>
          <w:tcPr>
            <w:tcW w:w="740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审计工作方案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根据供应商提供的审计工作方案（包括审计程序、审计方法等），横向比较，酌情打分，审计工作方案内容全面科学、具有针对性得</w:t>
            </w:r>
            <w:r>
              <w:rPr>
                <w:rFonts w:hint="eastAsia" w:ascii="仿宋" w:hAnsi="仿宋" w:eastAsia="仿宋" w:cs="仿宋"/>
                <w:color w:val="auto"/>
                <w:sz w:val="24"/>
                <w:szCs w:val="24"/>
                <w:highlight w:val="none"/>
                <w:lang w:val="en-US" w:eastAsia="zh-CN"/>
              </w:rPr>
              <w:t>10分，内容较全面、具有一定的针对性得8分，内容一般，针对性一般得5分，内容粗略，针对性有所欠缺得3分</w:t>
            </w:r>
            <w:r>
              <w:rPr>
                <w:rFonts w:hint="eastAsia" w:ascii="仿宋" w:hAnsi="仿宋" w:eastAsia="仿宋" w:cs="仿宋"/>
                <w:color w:val="auto"/>
                <w:sz w:val="24"/>
                <w:szCs w:val="24"/>
                <w:highlight w:val="none"/>
              </w:rPr>
              <w:t>，没有提供的不得分；</w:t>
            </w:r>
          </w:p>
          <w:p>
            <w:pPr>
              <w:widowControl/>
              <w:adjustRightIn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内控体系措施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根据供应商提供的内控体系措施（包括关键环节控制、单位内控体系等），横向比较，内控体系措施内容全面科学、具有针对性得</w:t>
            </w:r>
            <w:r>
              <w:rPr>
                <w:rFonts w:hint="eastAsia" w:ascii="仿宋" w:hAnsi="仿宋" w:eastAsia="仿宋" w:cs="仿宋"/>
                <w:color w:val="auto"/>
                <w:sz w:val="24"/>
                <w:szCs w:val="24"/>
                <w:highlight w:val="none"/>
                <w:lang w:val="en-US" w:eastAsia="zh-CN"/>
              </w:rPr>
              <w:t>10分，内容较全面、具有一定的针对性得8分，内容一般，针对性一般得5分，内容粗略，针对性有所欠缺得3分</w:t>
            </w:r>
            <w:r>
              <w:rPr>
                <w:rFonts w:hint="eastAsia" w:ascii="仿宋" w:hAnsi="仿宋" w:eastAsia="仿宋" w:cs="仿宋"/>
                <w:color w:val="auto"/>
                <w:sz w:val="24"/>
                <w:szCs w:val="24"/>
                <w:highlight w:val="none"/>
              </w:rPr>
              <w:t>，没有提供的不得分；</w:t>
            </w:r>
          </w:p>
          <w:p>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质量控制措施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根据供应商提供的质量控制措施（包括措施的科学性、合理性等），横向比较，酌情打分，质量控制措施内容全面科学、具有针对性得</w:t>
            </w:r>
            <w:r>
              <w:rPr>
                <w:rFonts w:hint="eastAsia" w:ascii="仿宋" w:hAnsi="仿宋" w:eastAsia="仿宋" w:cs="仿宋"/>
                <w:color w:val="auto"/>
                <w:sz w:val="24"/>
                <w:szCs w:val="24"/>
                <w:highlight w:val="none"/>
                <w:lang w:val="en-US" w:eastAsia="zh-CN"/>
              </w:rPr>
              <w:t>10分，内容较全面、具有一定的针对性得8分，内容一般，针对性一般得5分，内容粗略，针对性有所欠缺得3分</w:t>
            </w:r>
            <w:r>
              <w:rPr>
                <w:rFonts w:hint="eastAsia" w:ascii="仿宋" w:hAnsi="仿宋" w:eastAsia="仿宋" w:cs="仿宋"/>
                <w:color w:val="auto"/>
                <w:sz w:val="24"/>
                <w:szCs w:val="24"/>
                <w:highlight w:val="none"/>
              </w:rPr>
              <w:t>，没有提供的不得分；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tcBorders>
              <w:top w:val="single" w:color="auto" w:sz="4" w:space="0"/>
              <w:left w:val="single" w:color="auto" w:sz="4" w:space="0"/>
              <w:right w:val="single" w:color="auto" w:sz="4" w:space="0"/>
            </w:tcBorders>
            <w:vAlign w:val="center"/>
          </w:tcPr>
          <w:p>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项目人员配备</w:t>
            </w:r>
          </w:p>
        </w:tc>
        <w:tc>
          <w:tcPr>
            <w:tcW w:w="805" w:type="dxa"/>
            <w:tcBorders>
              <w:top w:val="single" w:color="auto" w:sz="4" w:space="0"/>
              <w:left w:val="single" w:color="auto" w:sz="4" w:space="0"/>
              <w:right w:val="single" w:color="auto" w:sz="4" w:space="0"/>
            </w:tcBorders>
            <w:vAlign w:val="center"/>
          </w:tcPr>
          <w:p>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15分</w:t>
            </w:r>
          </w:p>
        </w:tc>
        <w:tc>
          <w:tcPr>
            <w:tcW w:w="7404" w:type="dxa"/>
            <w:tcBorders>
              <w:top w:val="single" w:color="auto" w:sz="4" w:space="0"/>
              <w:left w:val="single" w:color="auto" w:sz="4" w:space="0"/>
              <w:right w:val="single" w:color="auto" w:sz="4" w:space="0"/>
            </w:tcBorders>
            <w:vAlign w:val="center"/>
          </w:tcPr>
          <w:p>
            <w:pPr>
              <w:widowControl/>
              <w:adjustRightInd w:val="0"/>
              <w:spacing w:line="4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根据供应商提供的针对本项目的人员配备、素质及管理经验，横向比较，酌情打分。人员配备</w:t>
            </w:r>
            <w:r>
              <w:rPr>
                <w:rFonts w:hint="eastAsia" w:ascii="仿宋" w:hAnsi="仿宋" w:eastAsia="仿宋" w:cs="仿宋"/>
                <w:color w:val="auto"/>
                <w:sz w:val="24"/>
                <w:szCs w:val="24"/>
                <w:highlight w:val="none"/>
                <w:lang w:val="en-US" w:eastAsia="zh-CN"/>
              </w:rPr>
              <w:t>合理，管理经验丰富得15分；</w:t>
            </w:r>
            <w:r>
              <w:rPr>
                <w:rFonts w:hint="eastAsia" w:ascii="仿宋" w:hAnsi="仿宋" w:eastAsia="仿宋" w:cs="仿宋"/>
                <w:color w:val="auto"/>
                <w:sz w:val="24"/>
                <w:szCs w:val="24"/>
                <w:highlight w:val="none"/>
              </w:rPr>
              <w:t>人员配备</w:t>
            </w:r>
            <w:r>
              <w:rPr>
                <w:rFonts w:hint="eastAsia" w:ascii="仿宋" w:hAnsi="仿宋" w:eastAsia="仿宋" w:cs="仿宋"/>
                <w:color w:val="auto"/>
                <w:sz w:val="24"/>
                <w:szCs w:val="24"/>
                <w:highlight w:val="none"/>
                <w:lang w:val="en-US" w:eastAsia="zh-CN"/>
              </w:rPr>
              <w:t>较合理，管理经验较为丰富得12分；</w:t>
            </w:r>
            <w:r>
              <w:rPr>
                <w:rFonts w:hint="eastAsia" w:ascii="仿宋" w:hAnsi="仿宋" w:eastAsia="仿宋" w:cs="仿宋"/>
                <w:color w:val="auto"/>
                <w:sz w:val="24"/>
                <w:szCs w:val="24"/>
                <w:highlight w:val="none"/>
              </w:rPr>
              <w:t>人员配备</w:t>
            </w:r>
            <w:r>
              <w:rPr>
                <w:rFonts w:hint="eastAsia" w:ascii="仿宋" w:hAnsi="仿宋" w:eastAsia="仿宋" w:cs="仿宋"/>
                <w:color w:val="auto"/>
                <w:sz w:val="24"/>
                <w:szCs w:val="24"/>
                <w:highlight w:val="none"/>
                <w:lang w:val="en-US" w:eastAsia="zh-CN"/>
              </w:rPr>
              <w:t>一般，管理经验一般得9分；</w:t>
            </w:r>
            <w:r>
              <w:rPr>
                <w:rFonts w:hint="eastAsia" w:ascii="仿宋" w:hAnsi="仿宋" w:eastAsia="仿宋" w:cs="仿宋"/>
                <w:color w:val="auto"/>
                <w:sz w:val="24"/>
                <w:szCs w:val="24"/>
                <w:highlight w:val="none"/>
              </w:rPr>
              <w:t>人员配备</w:t>
            </w:r>
            <w:r>
              <w:rPr>
                <w:rFonts w:hint="eastAsia" w:ascii="仿宋" w:hAnsi="仿宋" w:eastAsia="仿宋" w:cs="仿宋"/>
                <w:color w:val="auto"/>
                <w:sz w:val="24"/>
                <w:szCs w:val="24"/>
                <w:highlight w:val="none"/>
                <w:lang w:val="en-US" w:eastAsia="zh-CN"/>
              </w:rPr>
              <w:t>较差，管理经验较差得6分；</w:t>
            </w:r>
            <w:r>
              <w:rPr>
                <w:rFonts w:hint="eastAsia" w:ascii="仿宋" w:hAnsi="仿宋" w:eastAsia="仿宋" w:cs="仿宋"/>
                <w:color w:val="auto"/>
                <w:sz w:val="24"/>
                <w:szCs w:val="24"/>
                <w:highlight w:val="none"/>
              </w:rPr>
              <w:t>人员配备</w:t>
            </w:r>
            <w:r>
              <w:rPr>
                <w:rFonts w:hint="eastAsia" w:ascii="仿宋" w:hAnsi="仿宋" w:eastAsia="仿宋" w:cs="仿宋"/>
                <w:color w:val="auto"/>
                <w:sz w:val="24"/>
                <w:szCs w:val="24"/>
                <w:highlight w:val="none"/>
                <w:lang w:val="en-US" w:eastAsia="zh-CN"/>
              </w:rPr>
              <w:t>差，管理经验差得3分；未通过</w:t>
            </w:r>
            <w:r>
              <w:rPr>
                <w:rFonts w:hint="eastAsia" w:ascii="仿宋" w:hAnsi="仿宋" w:eastAsia="仿宋" w:cs="仿宋"/>
                <w:color w:val="auto"/>
                <w:sz w:val="24"/>
                <w:szCs w:val="24"/>
                <w:highlight w:val="none"/>
              </w:rPr>
              <w:t>相关证明材料</w:t>
            </w:r>
            <w:r>
              <w:rPr>
                <w:rFonts w:hint="eastAsia" w:ascii="仿宋" w:hAnsi="仿宋" w:eastAsia="仿宋" w:cs="仿宋"/>
                <w:color w:val="auto"/>
                <w:sz w:val="24"/>
                <w:szCs w:val="24"/>
                <w:highlight w:val="none"/>
                <w:lang w:val="en-US" w:eastAsia="zh-CN"/>
              </w:rPr>
              <w:t>的不得分</w:t>
            </w:r>
            <w:r>
              <w:rPr>
                <w:rFonts w:hint="eastAsia" w:ascii="仿宋" w:hAnsi="仿宋" w:eastAsia="仿宋" w:cs="仿宋"/>
                <w:color w:val="auto"/>
                <w:sz w:val="24"/>
                <w:szCs w:val="24"/>
                <w:highlight w:val="none"/>
              </w:rPr>
              <w:t>。</w:t>
            </w:r>
          </w:p>
          <w:p>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注：提供本项目审计配备人员注册会计师证书、投标单位出具的审计人员会计工作年限证明，并提供人员近一年任意一个月社保证明材料。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公司项目业绩</w:t>
            </w:r>
          </w:p>
        </w:tc>
        <w:tc>
          <w:tcPr>
            <w:tcW w:w="80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20分</w:t>
            </w:r>
          </w:p>
        </w:tc>
        <w:tc>
          <w:tcPr>
            <w:tcW w:w="740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根据供应商提供3份的近三年</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以合同签订时间为准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完成过的</w:t>
            </w:r>
            <w:r>
              <w:rPr>
                <w:rFonts w:hint="eastAsia" w:ascii="仿宋" w:hAnsi="仿宋" w:eastAsia="仿宋" w:cs="仿宋"/>
                <w:bCs/>
                <w:color w:val="auto"/>
                <w:sz w:val="24"/>
                <w:szCs w:val="24"/>
                <w:highlight w:val="none"/>
              </w:rPr>
              <w:t>类似的业绩，根据业绩得质量横向比较，酌情打分；优的得</w:t>
            </w:r>
            <w:r>
              <w:rPr>
                <w:rFonts w:hint="eastAsia" w:ascii="仿宋" w:hAnsi="仿宋" w:eastAsia="仿宋" w:cs="仿宋"/>
                <w:bCs/>
                <w:color w:val="auto"/>
                <w:sz w:val="24"/>
                <w:szCs w:val="24"/>
                <w:highlight w:val="none"/>
                <w:lang w:val="en-US" w:eastAsia="zh-CN"/>
              </w:rPr>
              <w:t>20</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val="en-US" w:eastAsia="zh-CN"/>
              </w:rPr>
              <w:t>较</w:t>
            </w:r>
            <w:r>
              <w:rPr>
                <w:rFonts w:hint="eastAsia" w:ascii="仿宋" w:hAnsi="仿宋" w:eastAsia="仿宋" w:cs="仿宋"/>
                <w:bCs/>
                <w:color w:val="auto"/>
                <w:sz w:val="24"/>
                <w:szCs w:val="24"/>
                <w:highlight w:val="none"/>
              </w:rPr>
              <w:t>优的得</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分，一般的得10分，较差的得5分，没有提供的不得分。</w:t>
            </w:r>
          </w:p>
          <w:p>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注：提供相关业绩清单，合同及审计报告复印件（可提供完整审计报告复印件或审计报告关键页复印件）。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公司资质荣誉</w:t>
            </w:r>
          </w:p>
        </w:tc>
        <w:tc>
          <w:tcPr>
            <w:tcW w:w="805"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15分</w:t>
            </w:r>
          </w:p>
        </w:tc>
        <w:tc>
          <w:tcPr>
            <w:tcW w:w="7404"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400" w:lineRule="exact"/>
              <w:jc w:val="left"/>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根据供应商提供的</w:t>
            </w:r>
            <w:r>
              <w:rPr>
                <w:rFonts w:hint="eastAsia" w:ascii="仿宋" w:hAnsi="仿宋" w:eastAsia="仿宋" w:cs="仿宋"/>
                <w:color w:val="auto"/>
                <w:sz w:val="24"/>
                <w:szCs w:val="24"/>
                <w:highlight w:val="none"/>
                <w:lang w:val="en-US" w:eastAsia="zh-CN"/>
              </w:rPr>
              <w:t>2025年度</w:t>
            </w:r>
            <w:r>
              <w:rPr>
                <w:rFonts w:hint="eastAsia" w:ascii="仿宋" w:hAnsi="仿宋" w:eastAsia="仿宋" w:cs="仿宋"/>
                <w:color w:val="auto"/>
                <w:sz w:val="24"/>
                <w:szCs w:val="24"/>
                <w:highlight w:val="none"/>
              </w:rPr>
              <w:t>省注册会计师协会综合评价中获得的等级和</w:t>
            </w:r>
            <w:r>
              <w:rPr>
                <w:rFonts w:hint="eastAsia" w:ascii="仿宋" w:hAnsi="仿宋" w:eastAsia="仿宋" w:cs="仿宋"/>
                <w:color w:val="auto"/>
                <w:sz w:val="24"/>
                <w:szCs w:val="24"/>
                <w:highlight w:val="none"/>
                <w:lang w:val="en-US" w:eastAsia="zh-CN"/>
              </w:rPr>
              <w:t>有关</w:t>
            </w:r>
            <w:r>
              <w:rPr>
                <w:rFonts w:hint="eastAsia" w:ascii="仿宋" w:hAnsi="仿宋" w:eastAsia="仿宋" w:cs="仿宋"/>
                <w:color w:val="auto"/>
                <w:sz w:val="24"/>
                <w:szCs w:val="24"/>
                <w:highlight w:val="none"/>
              </w:rPr>
              <w:t>部门（单位）获得的表彰，横向比较，酌情打分，优的得</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分，优的得</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分，一般的得</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分，较差的得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分，较差的得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分，没有提供的不得分。</w:t>
            </w:r>
          </w:p>
        </w:tc>
      </w:tr>
    </w:tbl>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提供相关证明材料复印件并加盖供应商公章，不提供不得分。上述涉及可在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（四）价格分：</w:t>
      </w:r>
      <w:r>
        <w:rPr>
          <w:rFonts w:hint="eastAsia" w:ascii="仿宋" w:hAnsi="仿宋" w:eastAsia="仿宋" w:cs="仿宋"/>
          <w:bCs/>
          <w:color w:val="auto"/>
          <w:sz w:val="24"/>
          <w:szCs w:val="24"/>
          <w:highlight w:val="none"/>
        </w:rPr>
        <w:t>20</w:t>
      </w:r>
      <w:r>
        <w:rPr>
          <w:rFonts w:ascii="仿宋" w:hAnsi="仿宋" w:eastAsia="仿宋" w:cs="仿宋"/>
          <w:bCs/>
          <w:color w:val="auto"/>
          <w:sz w:val="24"/>
          <w:szCs w:val="24"/>
          <w:highlight w:val="none"/>
        </w:rPr>
        <w:t>分</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比选文件要求的所有供应商报价的平均价为比选基准价，其商务报价响应分为满分20分；各供应商的有效商务报价响应分统一按照下列方法计算：各供应商的有效商务报价与比选基准价相比较，每上浮1%扣0.9分，每下浮1%扣0.6分，不足1%的，采用直线插入法，得分采用四舍五入法保留小数点后两位。</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五</w:t>
      </w:r>
      <w:r>
        <w:rPr>
          <w:rFonts w:ascii="仿宋" w:hAnsi="仿宋" w:eastAsia="仿宋" w:cs="仿宋"/>
          <w:bCs/>
          <w:color w:val="auto"/>
          <w:sz w:val="24"/>
          <w:szCs w:val="24"/>
          <w:highlight w:val="none"/>
        </w:rPr>
        <w:t>）采购人代表宣布评审结果。</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（六）公告成交结果</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七</w:t>
      </w:r>
      <w:r>
        <w:rPr>
          <w:rFonts w:ascii="仿宋" w:hAnsi="仿宋" w:eastAsia="仿宋" w:cs="仿宋"/>
          <w:bCs/>
          <w:color w:val="auto"/>
          <w:sz w:val="24"/>
          <w:szCs w:val="24"/>
          <w:highlight w:val="none"/>
        </w:rPr>
        <w:t>）发放成交通知书</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公告成交结果的同时，采购</w:t>
      </w:r>
      <w:r>
        <w:rPr>
          <w:rFonts w:hint="eastAsia" w:ascii="仿宋" w:hAnsi="仿宋" w:eastAsia="仿宋" w:cs="仿宋"/>
          <w:bCs/>
          <w:color w:val="auto"/>
          <w:sz w:val="24"/>
          <w:szCs w:val="24"/>
          <w:highlight w:val="none"/>
          <w:lang w:val="en-US" w:eastAsia="zh-CN"/>
        </w:rPr>
        <w:t>人</w:t>
      </w:r>
      <w:r>
        <w:rPr>
          <w:rFonts w:ascii="仿宋" w:hAnsi="仿宋" w:eastAsia="仿宋" w:cs="仿宋"/>
          <w:bCs/>
          <w:color w:val="auto"/>
          <w:sz w:val="24"/>
          <w:szCs w:val="24"/>
          <w:highlight w:val="none"/>
        </w:rPr>
        <w:t>向成交供应商发放成交通知书。</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pPr>
        <w:widowControl/>
        <w:jc w:val="left"/>
        <w:rPr>
          <w:rFonts w:hint="eastAsia" w:ascii="仿宋" w:hAnsi="仿宋" w:eastAsia="仿宋"/>
          <w:b/>
          <w:bCs/>
          <w:color w:val="auto"/>
          <w:kern w:val="44"/>
          <w:sz w:val="44"/>
          <w:szCs w:val="44"/>
          <w:highlight w:val="none"/>
        </w:rPr>
      </w:pPr>
      <w:r>
        <w:rPr>
          <w:rFonts w:ascii="仿宋" w:hAnsi="仿宋" w:eastAsia="仿宋"/>
          <w:color w:val="auto"/>
          <w:highlight w:val="none"/>
        </w:rPr>
        <w:br w:type="page"/>
      </w:r>
    </w:p>
    <w:p>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pPr>
        <w:rPr>
          <w:rFonts w:hint="default" w:ascii="仿宋" w:hAnsi="仿宋" w:eastAsia="仿宋" w:cs="Times New Roman"/>
          <w:b/>
          <w:bCs/>
          <w:color w:val="auto"/>
          <w:sz w:val="24"/>
          <w:szCs w:val="24"/>
          <w:highlight w:val="none"/>
          <w:lang w:val="en-US" w:eastAsia="zh-CN"/>
        </w:rPr>
      </w:pPr>
      <w:r>
        <w:rPr>
          <w:rFonts w:hint="eastAsia" w:ascii="仿宋" w:hAnsi="仿宋" w:eastAsia="仿宋" w:cs="Times New Roman"/>
          <w:b/>
          <w:bCs/>
          <w:color w:val="auto"/>
          <w:sz w:val="24"/>
          <w:szCs w:val="24"/>
          <w:highlight w:val="none"/>
          <w:lang w:val="en-US" w:eastAsia="zh-CN"/>
        </w:rPr>
        <w:t>注：每标段的成交供应商单独与采购人签订合同，其中一标段的成交供应商将分别与南通市财政局、南通市经济技术开发区财政局签订合同。</w:t>
      </w:r>
    </w:p>
    <w:p>
      <w:pPr>
        <w:rPr>
          <w:rFonts w:hint="eastAsia" w:ascii="仿宋" w:hAnsi="仿宋" w:eastAsia="仿宋" w:cs="Times New Roman"/>
          <w:color w:val="auto"/>
          <w:sz w:val="24"/>
          <w:szCs w:val="24"/>
          <w:highlight w:val="none"/>
        </w:rPr>
      </w:pPr>
    </w:p>
    <w:p>
      <w:pPr>
        <w:rPr>
          <w:rFonts w:hint="eastAsia" w:ascii="仿宋" w:hAnsi="仿宋" w:eastAsia="仿宋" w:cs="Times New Roman"/>
          <w:color w:val="auto"/>
          <w:sz w:val="24"/>
          <w:szCs w:val="24"/>
          <w:highlight w:val="none"/>
        </w:rPr>
      </w:pPr>
    </w:p>
    <w:p>
      <w:pPr>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pPr>
        <w:spacing w:line="480" w:lineRule="auto"/>
        <w:jc w:val="center"/>
        <w:rPr>
          <w:rFonts w:hint="eastAsia" w:ascii="仿宋" w:hAnsi="仿宋" w:eastAsia="仿宋" w:cs="Times New Roman"/>
          <w:b/>
          <w:color w:val="auto"/>
          <w:sz w:val="24"/>
          <w:szCs w:val="24"/>
          <w:highlight w:val="none"/>
        </w:rPr>
      </w:pPr>
    </w:p>
    <w:p>
      <w:pPr>
        <w:spacing w:line="480" w:lineRule="auto"/>
        <w:jc w:val="center"/>
        <w:rPr>
          <w:rFonts w:hint="eastAsia" w:ascii="仿宋" w:hAnsi="仿宋" w:eastAsia="仿宋" w:cs="Times New Roman"/>
          <w:b/>
          <w:color w:val="auto"/>
          <w:sz w:val="24"/>
          <w:szCs w:val="24"/>
          <w:highlight w:val="none"/>
        </w:rPr>
      </w:pPr>
    </w:p>
    <w:p>
      <w:pPr>
        <w:spacing w:line="480" w:lineRule="auto"/>
        <w:jc w:val="center"/>
        <w:rPr>
          <w:rFonts w:hint="eastAsia" w:ascii="仿宋" w:hAnsi="仿宋" w:eastAsia="仿宋" w:cs="Times New Roman"/>
          <w:b/>
          <w:color w:val="auto"/>
          <w:sz w:val="24"/>
          <w:szCs w:val="24"/>
          <w:highlight w:val="none"/>
        </w:rPr>
      </w:pPr>
    </w:p>
    <w:p>
      <w:pPr>
        <w:spacing w:line="480" w:lineRule="auto"/>
        <w:jc w:val="center"/>
        <w:rPr>
          <w:rFonts w:hint="eastAsia" w:ascii="仿宋" w:hAnsi="仿宋" w:eastAsia="仿宋" w:cs="Times New Roman"/>
          <w:b/>
          <w:color w:val="auto"/>
          <w:sz w:val="48"/>
          <w:szCs w:val="48"/>
          <w:highlight w:val="none"/>
        </w:rPr>
      </w:pPr>
      <w:r>
        <w:rPr>
          <w:rFonts w:ascii="仿宋" w:hAnsi="仿宋" w:eastAsia="仿宋" w:cs="Times New Roman"/>
          <w:b/>
          <w:color w:val="auto"/>
          <w:sz w:val="48"/>
          <w:szCs w:val="48"/>
          <w:highlight w:val="none"/>
        </w:rPr>
        <w:t>采购合同</w:t>
      </w:r>
    </w:p>
    <w:p>
      <w:pPr>
        <w:spacing w:line="480" w:lineRule="auto"/>
        <w:jc w:val="center"/>
        <w:rPr>
          <w:rFonts w:hint="eastAsia" w:ascii="仿宋" w:hAnsi="仿宋" w:eastAsia="仿宋" w:cs="Times New Roman"/>
          <w:b/>
          <w:color w:val="auto"/>
          <w:sz w:val="32"/>
          <w:szCs w:val="32"/>
          <w:highlight w:val="none"/>
        </w:rPr>
      </w:pPr>
      <w:r>
        <w:rPr>
          <w:rFonts w:hint="eastAsia" w:ascii="仿宋" w:hAnsi="仿宋" w:eastAsia="仿宋" w:cs="Times New Roman"/>
          <w:b/>
          <w:color w:val="auto"/>
          <w:sz w:val="32"/>
          <w:szCs w:val="32"/>
          <w:highlight w:val="none"/>
        </w:rPr>
        <w:t>（服务类）</w:t>
      </w:r>
    </w:p>
    <w:p>
      <w:pPr>
        <w:autoSpaceDE w:val="0"/>
        <w:autoSpaceDN w:val="0"/>
        <w:adjustRightInd w:val="0"/>
        <w:jc w:val="left"/>
        <w:rPr>
          <w:rFonts w:hint="eastAsia" w:ascii="仿宋" w:hAnsi="仿宋" w:eastAsia="仿宋" w:cs="Times New Roman"/>
          <w:color w:val="auto"/>
          <w:sz w:val="24"/>
          <w:szCs w:val="24"/>
          <w:highlight w:val="none"/>
        </w:rPr>
      </w:pPr>
    </w:p>
    <w:p>
      <w:pPr>
        <w:autoSpaceDE w:val="0"/>
        <w:autoSpaceDN w:val="0"/>
        <w:adjustRightInd w:val="0"/>
        <w:jc w:val="left"/>
        <w:rPr>
          <w:rFonts w:hint="eastAsia" w:ascii="仿宋" w:hAnsi="仿宋" w:eastAsia="仿宋" w:cs="Times New Roman"/>
          <w:color w:val="auto"/>
          <w:sz w:val="24"/>
          <w:szCs w:val="24"/>
          <w:highlight w:val="none"/>
        </w:rPr>
      </w:pPr>
    </w:p>
    <w:p>
      <w:pPr>
        <w:autoSpaceDE w:val="0"/>
        <w:autoSpaceDN w:val="0"/>
        <w:adjustRightInd w:val="0"/>
        <w:jc w:val="left"/>
        <w:rPr>
          <w:rFonts w:hint="eastAsia" w:ascii="仿宋" w:hAnsi="仿宋" w:eastAsia="仿宋" w:cs="Times New Roman"/>
          <w:color w:val="auto"/>
          <w:sz w:val="24"/>
          <w:szCs w:val="24"/>
          <w:highlight w:val="none"/>
        </w:rPr>
      </w:pPr>
    </w:p>
    <w:p>
      <w:pPr>
        <w:autoSpaceDE w:val="0"/>
        <w:autoSpaceDN w:val="0"/>
        <w:adjustRightInd w:val="0"/>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pPr>
        <w:autoSpaceDE w:val="0"/>
        <w:autoSpaceDN w:val="0"/>
        <w:adjustRightInd w:val="0"/>
        <w:jc w:val="left"/>
        <w:rPr>
          <w:rFonts w:hint="eastAsia" w:ascii="仿宋" w:hAnsi="仿宋" w:eastAsia="仿宋" w:cs="Times New Roman"/>
          <w:color w:val="auto"/>
          <w:sz w:val="24"/>
          <w:szCs w:val="24"/>
          <w:highlight w:val="none"/>
        </w:rPr>
      </w:pPr>
    </w:p>
    <w:p>
      <w:pPr>
        <w:autoSpaceDE w:val="0"/>
        <w:autoSpaceDN w:val="0"/>
        <w:adjustRightInd w:val="0"/>
        <w:jc w:val="left"/>
        <w:rPr>
          <w:rFonts w:hint="eastAsia" w:ascii="仿宋" w:hAnsi="仿宋" w:eastAsia="仿宋" w:cs="Times New Roman"/>
          <w:color w:val="auto"/>
          <w:sz w:val="24"/>
          <w:szCs w:val="24"/>
          <w:highlight w:val="none"/>
        </w:rPr>
      </w:pPr>
    </w:p>
    <w:p>
      <w:pPr>
        <w:spacing w:before="120" w:line="22" w:lineRule="atLeast"/>
        <w:rPr>
          <w:rFonts w:hint="eastAsia" w:ascii="仿宋" w:hAnsi="仿宋" w:eastAsia="仿宋" w:cs="Times New Roman"/>
          <w:color w:val="auto"/>
          <w:sz w:val="24"/>
          <w:szCs w:val="24"/>
          <w:highlight w:val="none"/>
        </w:rPr>
      </w:pPr>
    </w:p>
    <w:p>
      <w:pPr>
        <w:spacing w:before="120" w:line="22" w:lineRule="atLeast"/>
        <w:ind w:left="96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pPr>
        <w:spacing w:before="120" w:line="22" w:lineRule="atLeast"/>
        <w:ind w:left="960"/>
        <w:rPr>
          <w:rFonts w:hint="eastAsia" w:ascii="仿宋" w:hAnsi="仿宋" w:eastAsia="仿宋" w:cs="Times New Roman"/>
          <w:color w:val="auto"/>
          <w:sz w:val="24"/>
          <w:szCs w:val="24"/>
          <w:highlight w:val="none"/>
        </w:rPr>
      </w:pPr>
    </w:p>
    <w:p>
      <w:pPr>
        <w:spacing w:before="120" w:line="22" w:lineRule="atLeast"/>
        <w:rPr>
          <w:rFonts w:hint="eastAsia" w:ascii="仿宋" w:hAnsi="仿宋" w:eastAsia="仿宋" w:cs="Times New Roman"/>
          <w:color w:val="auto"/>
          <w:sz w:val="24"/>
          <w:szCs w:val="24"/>
          <w:highlight w:val="none"/>
        </w:rPr>
      </w:pPr>
    </w:p>
    <w:p>
      <w:pPr>
        <w:rPr>
          <w:rFonts w:hint="eastAsia" w:ascii="仿宋" w:hAnsi="仿宋" w:eastAsia="仿宋" w:cs="Times New Roman"/>
          <w:color w:val="auto"/>
          <w:sz w:val="24"/>
          <w:szCs w:val="24"/>
          <w:highlight w:val="none"/>
        </w:rPr>
      </w:pPr>
    </w:p>
    <w:p>
      <w:pPr>
        <w:spacing w:before="120" w:line="22" w:lineRule="atLeast"/>
        <w:ind w:left="96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pPr>
        <w:spacing w:before="120" w:line="22" w:lineRule="atLeast"/>
        <w:rPr>
          <w:rFonts w:hint="eastAsia" w:ascii="仿宋" w:hAnsi="仿宋" w:eastAsia="仿宋" w:cs="Times New Roman"/>
          <w:color w:val="auto"/>
          <w:sz w:val="24"/>
          <w:szCs w:val="24"/>
          <w:highlight w:val="none"/>
        </w:rPr>
      </w:pPr>
    </w:p>
    <w:p>
      <w:pPr>
        <w:spacing w:before="120" w:line="22" w:lineRule="atLeast"/>
        <w:ind w:left="96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pPr>
        <w:spacing w:before="120" w:line="22" w:lineRule="atLeast"/>
        <w:rPr>
          <w:rFonts w:hint="eastAsia" w:ascii="仿宋" w:hAnsi="仿宋" w:eastAsia="仿宋" w:cs="Times New Roman"/>
          <w:color w:val="auto"/>
          <w:sz w:val="24"/>
          <w:szCs w:val="24"/>
          <w:highlight w:val="none"/>
        </w:rPr>
      </w:pPr>
    </w:p>
    <w:p>
      <w:pPr>
        <w:spacing w:before="120" w:line="22" w:lineRule="atLeast"/>
        <w:ind w:firstLine="960" w:firstLineChars="4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pPr>
        <w:spacing w:before="120" w:line="22" w:lineRule="atLeast"/>
        <w:rPr>
          <w:rFonts w:hint="eastAsia" w:ascii="仿宋" w:hAnsi="仿宋" w:eastAsia="仿宋" w:cs="Times New Roman"/>
          <w:color w:val="auto"/>
          <w:sz w:val="24"/>
          <w:szCs w:val="24"/>
          <w:highlight w:val="none"/>
        </w:rPr>
      </w:pPr>
    </w:p>
    <w:p>
      <w:pPr>
        <w:ind w:firstLine="960" w:firstLineChars="4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pPr>
        <w:widowControl/>
        <w:jc w:val="left"/>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（采购人名称）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（采购方式）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rPr>
        <w:t xml:space="preserve">   （同前页项目名称）   </w:t>
      </w:r>
      <w:r>
        <w:rPr>
          <w:rFonts w:hint="eastAsia" w:ascii="仿宋" w:hAnsi="仿宋" w:eastAsia="仿宋" w:cs="Times New Roman"/>
          <w:color w:val="auto"/>
          <w:sz w:val="24"/>
          <w:szCs w:val="24"/>
          <w:highlight w:val="none"/>
        </w:rPr>
        <w:t>项目进行了采购。经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rPr>
        <w:t>为该项目中标供应商。现于中标通知书发出之日起三十日内，按照采购文件确定的事项签订本合同。</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根据《中华人民共和国民法典》等相关法律法规之规定，按照平等、自愿、公平和诚实信用的原则，经</w:t>
      </w:r>
      <w:r>
        <w:rPr>
          <w:rFonts w:hint="eastAsia" w:ascii="仿宋" w:hAnsi="仿宋" w:eastAsia="仿宋" w:cs="Times New Roman"/>
          <w:color w:val="auto"/>
          <w:sz w:val="24"/>
          <w:szCs w:val="24"/>
          <w:highlight w:val="none"/>
          <w:u w:val="single"/>
        </w:rPr>
        <w:t xml:space="preserve">   （采购人名称）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pPr>
        <w:spacing w:line="360" w:lineRule="auto"/>
        <w:ind w:firstLine="482" w:firstLineChars="200"/>
        <w:outlineLvl w:val="0"/>
        <w:rPr>
          <w:rFonts w:hint="eastAsia" w:ascii="仿宋" w:hAnsi="仿宋" w:eastAsia="仿宋" w:cs="Times New Roman"/>
          <w:color w:val="auto"/>
          <w:sz w:val="24"/>
          <w:szCs w:val="24"/>
          <w:highlight w:val="none"/>
        </w:rPr>
      </w:pPr>
      <w:bookmarkStart w:id="88" w:name="_Toc28855"/>
      <w:bookmarkStart w:id="89" w:name="_Toc19273"/>
      <w:bookmarkStart w:id="90" w:name="_Toc22967"/>
      <w:bookmarkStart w:id="91" w:name="_Toc15367"/>
      <w:bookmarkStart w:id="92" w:name="_Toc20421"/>
      <w:r>
        <w:rPr>
          <w:rFonts w:hint="eastAsia" w:ascii="仿宋" w:hAnsi="仿宋" w:eastAsia="仿宋" w:cs="Times New Roman"/>
          <w:b/>
          <w:color w:val="auto"/>
          <w:sz w:val="24"/>
          <w:szCs w:val="24"/>
          <w:highlight w:val="none"/>
        </w:rPr>
        <w:t>1.1 合同组成部分</w:t>
      </w:r>
      <w:bookmarkEnd w:id="88"/>
      <w:bookmarkEnd w:id="89"/>
      <w:bookmarkEnd w:id="90"/>
      <w:bookmarkEnd w:id="91"/>
      <w:bookmarkEnd w:id="92"/>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pPr>
        <w:spacing w:line="360" w:lineRule="auto"/>
        <w:ind w:firstLine="482" w:firstLineChars="200"/>
        <w:outlineLvl w:val="0"/>
        <w:rPr>
          <w:rFonts w:hint="eastAsia" w:ascii="仿宋" w:hAnsi="仿宋" w:eastAsia="仿宋" w:cs="Times New Roman"/>
          <w:b/>
          <w:color w:val="auto"/>
          <w:sz w:val="24"/>
          <w:szCs w:val="24"/>
          <w:highlight w:val="none"/>
        </w:rPr>
      </w:pPr>
      <w:bookmarkStart w:id="93" w:name="_Toc6773"/>
      <w:bookmarkStart w:id="94" w:name="_Toc6311"/>
      <w:bookmarkStart w:id="95" w:name="_Toc18585"/>
      <w:bookmarkStart w:id="96" w:name="_Toc2918"/>
      <w:bookmarkStart w:id="97" w:name="_Toc22185"/>
      <w:r>
        <w:rPr>
          <w:rFonts w:hint="eastAsia" w:ascii="仿宋" w:hAnsi="仿宋" w:eastAsia="仿宋" w:cs="Times New Roman"/>
          <w:b/>
          <w:color w:val="auto"/>
          <w:sz w:val="24"/>
          <w:szCs w:val="24"/>
          <w:highlight w:val="none"/>
        </w:rPr>
        <w:t>1.2 标的</w:t>
      </w:r>
      <w:bookmarkEnd w:id="93"/>
      <w:bookmarkEnd w:id="94"/>
      <w:bookmarkEnd w:id="95"/>
      <w:bookmarkEnd w:id="96"/>
      <w:bookmarkEnd w:id="97"/>
    </w:p>
    <w:p>
      <w:pPr>
        <w:spacing w:line="360" w:lineRule="auto"/>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标的</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pPr>
        <w:spacing w:line="360" w:lineRule="auto"/>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标的</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标的质量：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pPr>
        <w:spacing w:line="360" w:lineRule="auto"/>
        <w:ind w:firstLine="482" w:firstLineChars="200"/>
        <w:outlineLvl w:val="0"/>
        <w:rPr>
          <w:rFonts w:hint="eastAsia" w:ascii="仿宋" w:hAnsi="仿宋" w:eastAsia="仿宋" w:cs="Times New Roman"/>
          <w:b/>
          <w:color w:val="auto"/>
          <w:sz w:val="24"/>
          <w:szCs w:val="24"/>
          <w:highlight w:val="none"/>
        </w:rPr>
      </w:pPr>
      <w:bookmarkStart w:id="98" w:name="_Toc4929"/>
      <w:bookmarkStart w:id="99" w:name="_Toc1386"/>
      <w:bookmarkStart w:id="100" w:name="_Toc21124"/>
      <w:bookmarkStart w:id="101" w:name="_Toc5635"/>
      <w:bookmarkStart w:id="102" w:name="_Toc13918"/>
      <w:r>
        <w:rPr>
          <w:rFonts w:hint="eastAsia" w:ascii="仿宋" w:hAnsi="仿宋" w:eastAsia="仿宋" w:cs="Times New Roman"/>
          <w:b/>
          <w:color w:val="auto"/>
          <w:sz w:val="24"/>
          <w:szCs w:val="24"/>
          <w:highlight w:val="none"/>
        </w:rPr>
        <w:t>1.</w:t>
      </w:r>
      <w:r>
        <w:rPr>
          <w:rFonts w:ascii="仿宋" w:hAnsi="仿宋" w:eastAsia="仿宋" w:cs="Times New Roman"/>
          <w:b/>
          <w:color w:val="auto"/>
          <w:sz w:val="24"/>
          <w:szCs w:val="24"/>
          <w:highlight w:val="none"/>
        </w:rPr>
        <w:t>3</w:t>
      </w:r>
      <w:r>
        <w:rPr>
          <w:rFonts w:hint="eastAsia" w:ascii="仿宋" w:hAnsi="仿宋" w:eastAsia="仿宋" w:cs="Times New Roman"/>
          <w:b/>
          <w:color w:val="auto"/>
          <w:sz w:val="24"/>
          <w:szCs w:val="24"/>
          <w:highlight w:val="none"/>
        </w:rPr>
        <w:t xml:space="preserve"> 价款</w:t>
      </w:r>
      <w:bookmarkEnd w:id="98"/>
      <w:bookmarkEnd w:id="99"/>
      <w:bookmarkEnd w:id="100"/>
      <w:bookmarkEnd w:id="101"/>
      <w:bookmarkEnd w:id="102"/>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pPr>
        <w:spacing w:line="360" w:lineRule="auto"/>
        <w:ind w:firstLine="480" w:firstLineChars="200"/>
        <w:rPr>
          <w:rFonts w:hint="eastAsia" w:ascii="仿宋" w:hAnsi="仿宋" w:eastAsia="仿宋" w:cs="Times New Roman"/>
          <w:color w:val="auto"/>
          <w:sz w:val="24"/>
          <w:szCs w:val="24"/>
          <w:highlight w:val="none"/>
          <w:u w:val="single"/>
        </w:rPr>
      </w:pPr>
      <w:r>
        <w:rPr>
          <w:rFonts w:ascii="仿宋" w:hAnsi="仿宋" w:eastAsia="仿宋" w:cs="Times New Roman"/>
          <w:color w:val="auto"/>
          <w:sz w:val="24"/>
          <w:szCs w:val="24"/>
          <w:highlight w:val="none"/>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jc w:val="center"/>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pPr>
              <w:spacing w:line="360" w:lineRule="auto"/>
              <w:ind w:firstLine="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pPr>
              <w:spacing w:line="360" w:lineRule="auto"/>
              <w:jc w:val="center"/>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hint="eastAsia" w:ascii="仿宋" w:hAnsi="仿宋" w:eastAsia="仿宋" w:cs="Times New Roman"/>
                <w:color w:val="auto"/>
                <w:sz w:val="24"/>
                <w:szCs w:val="24"/>
                <w:highlight w:val="none"/>
              </w:rPr>
            </w:pPr>
          </w:p>
        </w:tc>
        <w:tc>
          <w:tcPr>
            <w:tcW w:w="3402" w:type="dxa"/>
            <w:vAlign w:val="center"/>
          </w:tcPr>
          <w:p>
            <w:pPr>
              <w:spacing w:line="360" w:lineRule="auto"/>
              <w:ind w:firstLine="200"/>
              <w:jc w:val="center"/>
              <w:rPr>
                <w:rFonts w:hint="eastAsia" w:ascii="仿宋" w:hAnsi="仿宋" w:eastAsia="仿宋" w:cs="Times New Roman"/>
                <w:color w:val="auto"/>
                <w:sz w:val="24"/>
                <w:szCs w:val="24"/>
                <w:highlight w:val="none"/>
              </w:rPr>
            </w:pPr>
          </w:p>
        </w:tc>
        <w:tc>
          <w:tcPr>
            <w:tcW w:w="2552" w:type="dxa"/>
            <w:vAlign w:val="center"/>
          </w:tcPr>
          <w:p>
            <w:pPr>
              <w:spacing w:line="360" w:lineRule="auto"/>
              <w:ind w:firstLine="200"/>
              <w:jc w:val="center"/>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hint="eastAsia" w:ascii="仿宋" w:hAnsi="仿宋" w:eastAsia="仿宋" w:cs="Times New Roman"/>
                <w:color w:val="auto"/>
                <w:sz w:val="24"/>
                <w:szCs w:val="24"/>
                <w:highlight w:val="none"/>
              </w:rPr>
            </w:pPr>
          </w:p>
        </w:tc>
        <w:tc>
          <w:tcPr>
            <w:tcW w:w="3402" w:type="dxa"/>
            <w:vAlign w:val="center"/>
          </w:tcPr>
          <w:p>
            <w:pPr>
              <w:spacing w:line="360" w:lineRule="auto"/>
              <w:ind w:firstLine="200"/>
              <w:jc w:val="center"/>
              <w:rPr>
                <w:rFonts w:hint="eastAsia" w:ascii="仿宋" w:hAnsi="仿宋" w:eastAsia="仿宋" w:cs="Times New Roman"/>
                <w:color w:val="auto"/>
                <w:sz w:val="24"/>
                <w:szCs w:val="24"/>
                <w:highlight w:val="none"/>
              </w:rPr>
            </w:pPr>
          </w:p>
        </w:tc>
        <w:tc>
          <w:tcPr>
            <w:tcW w:w="2552" w:type="dxa"/>
            <w:vAlign w:val="center"/>
          </w:tcPr>
          <w:p>
            <w:pPr>
              <w:spacing w:line="360" w:lineRule="auto"/>
              <w:ind w:firstLine="200"/>
              <w:jc w:val="center"/>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spacing w:line="360" w:lineRule="auto"/>
              <w:ind w:firstLine="200"/>
              <w:jc w:val="center"/>
              <w:rPr>
                <w:rFonts w:hint="eastAsia" w:ascii="仿宋" w:hAnsi="仿宋" w:eastAsia="仿宋" w:cs="Times New Roman"/>
                <w:color w:val="auto"/>
                <w:sz w:val="24"/>
                <w:szCs w:val="24"/>
                <w:highlight w:val="none"/>
              </w:rPr>
            </w:pPr>
          </w:p>
        </w:tc>
        <w:tc>
          <w:tcPr>
            <w:tcW w:w="3402" w:type="dxa"/>
            <w:vAlign w:val="center"/>
          </w:tcPr>
          <w:p>
            <w:pPr>
              <w:spacing w:line="360" w:lineRule="auto"/>
              <w:ind w:firstLine="200"/>
              <w:jc w:val="center"/>
              <w:rPr>
                <w:rFonts w:hint="eastAsia" w:ascii="仿宋" w:hAnsi="仿宋" w:eastAsia="仿宋" w:cs="Times New Roman"/>
                <w:color w:val="auto"/>
                <w:sz w:val="24"/>
                <w:szCs w:val="24"/>
                <w:highlight w:val="none"/>
              </w:rPr>
            </w:pPr>
          </w:p>
        </w:tc>
        <w:tc>
          <w:tcPr>
            <w:tcW w:w="2552" w:type="dxa"/>
            <w:vAlign w:val="center"/>
          </w:tcPr>
          <w:p>
            <w:pPr>
              <w:spacing w:line="360" w:lineRule="auto"/>
              <w:ind w:firstLine="200"/>
              <w:jc w:val="center"/>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spacing w:line="360" w:lineRule="auto"/>
              <w:ind w:firstLine="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pPr>
              <w:spacing w:line="360" w:lineRule="auto"/>
              <w:ind w:firstLine="200"/>
              <w:jc w:val="center"/>
              <w:rPr>
                <w:rFonts w:hint="eastAsia" w:ascii="仿宋" w:hAnsi="仿宋" w:eastAsia="仿宋" w:cs="Times New Roman"/>
                <w:color w:val="auto"/>
                <w:sz w:val="24"/>
                <w:szCs w:val="24"/>
                <w:highlight w:val="none"/>
              </w:rPr>
            </w:pPr>
          </w:p>
        </w:tc>
      </w:tr>
    </w:tbl>
    <w:p>
      <w:pPr>
        <w:spacing w:line="560" w:lineRule="exact"/>
        <w:ind w:firstLine="482" w:firstLineChars="200"/>
        <w:rPr>
          <w:rFonts w:hint="eastAsia" w:ascii="仿宋" w:hAnsi="仿宋" w:eastAsia="仿宋" w:cs="Times New Roman"/>
          <w:b/>
          <w:bCs/>
          <w:color w:val="auto"/>
          <w:sz w:val="24"/>
          <w:szCs w:val="24"/>
          <w:highlight w:val="none"/>
        </w:rPr>
      </w:pPr>
      <w:bookmarkStart w:id="103" w:name="_Toc14993"/>
      <w:bookmarkStart w:id="104" w:name="_Toc26916"/>
      <w:bookmarkStart w:id="105" w:name="_Toc30158"/>
      <w:bookmarkStart w:id="106" w:name="_Toc30506"/>
      <w:bookmarkStart w:id="107" w:name="_Toc3654"/>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3"/>
      <w:bookmarkEnd w:id="104"/>
      <w:bookmarkEnd w:id="105"/>
      <w:bookmarkEnd w:id="106"/>
      <w:bookmarkEnd w:id="107"/>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1.4.1</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pPr>
        <w:spacing w:line="560" w:lineRule="exact"/>
        <w:ind w:firstLine="482" w:firstLineChars="200"/>
        <w:rPr>
          <w:rFonts w:hint="eastAsia" w:ascii="仿宋" w:hAnsi="仿宋" w:eastAsia="仿宋" w:cs="Times New Roman"/>
          <w:b/>
          <w:bCs/>
          <w:color w:val="auto"/>
          <w:sz w:val="24"/>
          <w:szCs w:val="24"/>
          <w:highlight w:val="none"/>
        </w:rPr>
      </w:pPr>
      <w:bookmarkStart w:id="108" w:name="_Toc4760"/>
      <w:bookmarkStart w:id="109" w:name="_Toc31421"/>
      <w:bookmarkStart w:id="110" w:name="_Toc11108"/>
      <w:bookmarkStart w:id="111" w:name="_Toc8772"/>
      <w:bookmarkStart w:id="112" w:name="_Toc3625"/>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履行</w:t>
      </w:r>
      <w:r>
        <w:rPr>
          <w:rFonts w:ascii="仿宋" w:hAnsi="仿宋" w:eastAsia="仿宋" w:cs="Times New Roman"/>
          <w:b/>
          <w:bCs/>
          <w:color w:val="auto"/>
          <w:sz w:val="24"/>
          <w:szCs w:val="24"/>
          <w:highlight w:val="none"/>
        </w:rPr>
        <w:t>期限</w:t>
      </w:r>
      <w:r>
        <w:rPr>
          <w:rFonts w:hint="eastAsia" w:ascii="仿宋" w:hAnsi="仿宋" w:eastAsia="仿宋" w:cs="Times New Roman"/>
          <w:b/>
          <w:bCs/>
          <w:color w:val="auto"/>
          <w:sz w:val="24"/>
          <w:szCs w:val="24"/>
          <w:highlight w:val="none"/>
        </w:rPr>
        <w:t>、地点和方式</w:t>
      </w:r>
      <w:bookmarkEnd w:id="108"/>
      <w:bookmarkEnd w:id="109"/>
      <w:bookmarkEnd w:id="110"/>
      <w:bookmarkEnd w:id="111"/>
      <w:bookmarkEnd w:id="112"/>
    </w:p>
    <w:p>
      <w:pPr>
        <w:spacing w:line="560" w:lineRule="exact"/>
        <w:ind w:firstLine="480" w:firstLineChars="20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履行期限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履行地点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履行方式：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pPr>
        <w:spacing w:line="560" w:lineRule="exact"/>
        <w:ind w:firstLine="482" w:firstLineChars="200"/>
        <w:rPr>
          <w:rFonts w:hint="eastAsia" w:ascii="仿宋" w:hAnsi="仿宋" w:eastAsia="仿宋" w:cs="Times New Roman"/>
          <w:b/>
          <w:bCs/>
          <w:color w:val="auto"/>
          <w:sz w:val="24"/>
          <w:szCs w:val="24"/>
          <w:highlight w:val="none"/>
        </w:rPr>
      </w:pPr>
      <w:bookmarkStart w:id="113" w:name="_Toc2375"/>
      <w:bookmarkStart w:id="114" w:name="_Toc24662"/>
      <w:bookmarkStart w:id="115" w:name="_Toc5698"/>
      <w:bookmarkStart w:id="116" w:name="_Toc3079"/>
      <w:bookmarkStart w:id="117" w:name="_Toc8586"/>
      <w:r>
        <w:rPr>
          <w:rFonts w:hint="eastAsia" w:ascii="仿宋" w:hAnsi="仿宋" w:eastAsia="仿宋" w:cs="Times New Roman"/>
          <w:b/>
          <w:bCs/>
          <w:color w:val="auto"/>
          <w:sz w:val="24"/>
          <w:szCs w:val="24"/>
          <w:highlight w:val="none"/>
        </w:rPr>
        <w:t>1.6 违约责任</w:t>
      </w:r>
      <w:bookmarkEnd w:id="113"/>
      <w:bookmarkEnd w:id="114"/>
      <w:bookmarkEnd w:id="115"/>
      <w:bookmarkEnd w:id="116"/>
      <w:bookmarkEnd w:id="117"/>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一日的应提供而未</w:t>
      </w:r>
      <w:r>
        <w:rPr>
          <w:rFonts w:hint="eastAsia" w:ascii="仿宋" w:hAnsi="仿宋" w:eastAsia="仿宋" w:cs="Times New Roman"/>
          <w:color w:val="auto"/>
          <w:sz w:val="24"/>
          <w:szCs w:val="24"/>
          <w:highlight w:val="none"/>
        </w:rPr>
        <w:t>提供</w:t>
      </w:r>
      <w:r>
        <w:rPr>
          <w:rFonts w:ascii="仿宋" w:hAnsi="仿宋" w:eastAsia="仿宋" w:cs="Times New Roman"/>
          <w:color w:val="auto"/>
          <w:sz w:val="24"/>
          <w:szCs w:val="24"/>
          <w:highlight w:val="none"/>
        </w:rPr>
        <w:t>服务价格的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pPr>
        <w:spacing w:line="560" w:lineRule="exact"/>
        <w:ind w:firstLine="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rPr>
          <w:rFonts w:hint="eastAsia" w:ascii="仿宋" w:hAnsi="仿宋" w:eastAsia="仿宋" w:cs="Times New Roman"/>
          <w:b/>
          <w:bCs/>
          <w:color w:val="auto"/>
          <w:sz w:val="24"/>
          <w:szCs w:val="24"/>
          <w:highlight w:val="none"/>
        </w:rPr>
      </w:pPr>
      <w:bookmarkStart w:id="118" w:name="_Toc30329"/>
      <w:bookmarkStart w:id="119" w:name="_Toc26807"/>
      <w:bookmarkStart w:id="120" w:name="_Toc32454"/>
      <w:bookmarkStart w:id="121" w:name="_Toc18683"/>
      <w:bookmarkStart w:id="122" w:name="_Toc9497"/>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18"/>
      <w:bookmarkEnd w:id="119"/>
      <w:bookmarkEnd w:id="120"/>
      <w:bookmarkEnd w:id="121"/>
      <w:bookmarkEnd w:id="122"/>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pPr>
        <w:spacing w:line="560" w:lineRule="exact"/>
        <w:ind w:firstLine="482" w:firstLineChars="200"/>
        <w:rPr>
          <w:rFonts w:hint="eastAsia" w:ascii="仿宋" w:hAnsi="仿宋" w:eastAsia="仿宋" w:cs="Times New Roman"/>
          <w:b/>
          <w:bCs/>
          <w:color w:val="auto"/>
          <w:sz w:val="24"/>
          <w:szCs w:val="24"/>
          <w:highlight w:val="none"/>
        </w:rPr>
      </w:pPr>
      <w:bookmarkStart w:id="123" w:name="_Toc16417"/>
      <w:bookmarkStart w:id="124" w:name="_Toc23784"/>
      <w:bookmarkStart w:id="125" w:name="_Toc26227"/>
      <w:bookmarkStart w:id="126" w:name="_Toc15827"/>
      <w:bookmarkStart w:id="127" w:name="_Toc12273"/>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23"/>
      <w:bookmarkEnd w:id="124"/>
      <w:bookmarkEnd w:id="125"/>
      <w:bookmarkEnd w:id="126"/>
      <w:bookmarkEnd w:id="127"/>
    </w:p>
    <w:p>
      <w:pPr>
        <w:spacing w:line="560" w:lineRule="exact"/>
        <w:ind w:firstLine="480" w:firstLineChars="200"/>
        <w:rPr>
          <w:rFonts w:hint="eastAsia" w:ascii="仿宋" w:hAnsi="仿宋" w:eastAsia="仿宋" w:cs="Times New Roman"/>
          <w:b/>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乙方</w:t>
      </w:r>
      <w:r>
        <w:rPr>
          <w:rFonts w:hint="eastAsia" w:ascii="仿宋" w:hAnsi="仿宋" w:eastAsia="仿宋" w:cs="Times New Roman"/>
          <w:color w:val="auto"/>
          <w:sz w:val="24"/>
          <w:szCs w:val="24"/>
          <w:highlight w:val="none"/>
          <w:lang w:val="zh-CN"/>
        </w:rPr>
        <w:t>：</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pPr>
        <w:autoSpaceDE w:val="0"/>
        <w:autoSpaceDN w:val="0"/>
        <w:adjustRightInd w:val="0"/>
        <w:spacing w:line="560" w:lineRule="exact"/>
        <w:rPr>
          <w:rFonts w:hint="eastAsia"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pPr>
        <w:autoSpaceDE w:val="0"/>
        <w:autoSpaceDN w:val="0"/>
        <w:adjustRightInd w:val="0"/>
        <w:spacing w:line="560" w:lineRule="exac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pPr>
        <w:autoSpaceDE w:val="0"/>
        <w:autoSpaceDN w:val="0"/>
        <w:adjustRightInd w:val="0"/>
        <w:spacing w:line="560" w:lineRule="exac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pPr>
        <w:autoSpaceDE w:val="0"/>
        <w:autoSpaceDN w:val="0"/>
        <w:adjustRightInd w:val="0"/>
        <w:spacing w:line="560" w:lineRule="exac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pPr>
        <w:autoSpaceDE w:val="0"/>
        <w:autoSpaceDN w:val="0"/>
        <w:adjustRightInd w:val="0"/>
        <w:spacing w:line="560" w:lineRule="exac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pPr>
        <w:widowControl/>
        <w:jc w:val="left"/>
        <w:rPr>
          <w:rFonts w:hint="eastAsia" w:ascii="仿宋" w:hAnsi="仿宋" w:eastAsia="仿宋"/>
          <w:color w:val="auto"/>
          <w:sz w:val="24"/>
          <w:szCs w:val="24"/>
          <w:highlight w:val="none"/>
        </w:rPr>
      </w:pPr>
      <w:r>
        <w:rPr>
          <w:rFonts w:ascii="仿宋" w:hAnsi="仿宋" w:eastAsia="仿宋"/>
          <w:color w:val="auto"/>
          <w:sz w:val="24"/>
          <w:szCs w:val="24"/>
          <w:highlight w:val="none"/>
        </w:rPr>
        <w:br w:type="page"/>
      </w:r>
    </w:p>
    <w:p>
      <w:pPr>
        <w:autoSpaceDE w:val="0"/>
        <w:autoSpaceDN w:val="0"/>
        <w:adjustRightInd w:val="0"/>
        <w:spacing w:line="560" w:lineRule="exact"/>
        <w:ind w:firstLine="200"/>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pPr>
        <w:spacing w:line="560" w:lineRule="exact"/>
        <w:ind w:firstLine="482" w:firstLineChars="200"/>
        <w:rPr>
          <w:rFonts w:hint="eastAsia" w:ascii="仿宋" w:hAnsi="仿宋" w:eastAsia="仿宋" w:cs="Times New Roman"/>
          <w:b/>
          <w:bCs/>
          <w:color w:val="auto"/>
          <w:sz w:val="24"/>
          <w:szCs w:val="24"/>
          <w:highlight w:val="none"/>
        </w:rPr>
      </w:pPr>
      <w:bookmarkStart w:id="128" w:name="_Toc5228"/>
      <w:bookmarkStart w:id="129" w:name="_Toc25079"/>
      <w:bookmarkStart w:id="130" w:name="_Toc14021"/>
      <w:bookmarkStart w:id="131" w:name="_Toc19680"/>
      <w:bookmarkStart w:id="132" w:name="_Toc31297"/>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28"/>
      <w:bookmarkEnd w:id="129"/>
      <w:bookmarkEnd w:id="130"/>
      <w:bookmarkEnd w:id="131"/>
      <w:bookmarkEnd w:id="132"/>
    </w:p>
    <w:p>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w:t>
      </w:r>
      <w:r>
        <w:rPr>
          <w:rFonts w:hint="eastAsia" w:ascii="仿宋" w:hAnsi="仿宋" w:eastAsia="仿宋" w:cs="Times New Roman"/>
          <w:color w:val="auto"/>
          <w:sz w:val="24"/>
          <w:szCs w:val="24"/>
          <w:highlight w:val="none"/>
        </w:rPr>
        <w:t>服务</w:t>
      </w:r>
      <w:r>
        <w:rPr>
          <w:rFonts w:ascii="仿宋" w:hAnsi="仿宋" w:eastAsia="仿宋" w:cs="Times New Roman"/>
          <w:color w:val="auto"/>
          <w:sz w:val="24"/>
          <w:szCs w:val="24"/>
          <w:highlight w:val="none"/>
        </w:rPr>
        <w:t>”系指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的</w:t>
      </w:r>
      <w:r>
        <w:rPr>
          <w:rFonts w:hint="eastAsia" w:ascii="仿宋" w:hAnsi="仿宋" w:eastAsia="仿宋" w:cs="Times New Roman"/>
          <w:color w:val="auto"/>
          <w:sz w:val="24"/>
          <w:szCs w:val="24"/>
          <w:highlight w:val="none"/>
        </w:rPr>
        <w:t>除货物和工程以外的其他采购对象，包括采购人自身需要的服务和向社会公众提供的公共服务。</w:t>
      </w:r>
    </w:p>
    <w:p>
      <w:pPr>
        <w:spacing w:line="560" w:lineRule="exact"/>
        <w:ind w:firstLine="480" w:firstLineChars="200"/>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r>
        <w:rPr>
          <w:rFonts w:hint="eastAsia" w:ascii="仿宋" w:hAnsi="仿宋" w:eastAsia="仿宋" w:cs="Times New Roman"/>
          <w:color w:val="auto"/>
          <w:sz w:val="24"/>
          <w:szCs w:val="24"/>
          <w:highlight w:val="none"/>
          <w:lang w:eastAsia="zh-CN"/>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“乙方”系指根据合同约定提供服务的中标供应商</w:t>
      </w:r>
      <w:r>
        <w:rPr>
          <w:rFonts w:hint="eastAsia" w:ascii="仿宋" w:hAnsi="仿宋" w:eastAsia="仿宋" w:cs="Times New Roman"/>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“现场”系指合同约定提供服务的地点。</w:t>
      </w:r>
    </w:p>
    <w:p>
      <w:pPr>
        <w:spacing w:line="560" w:lineRule="exact"/>
        <w:ind w:firstLine="482" w:firstLineChars="200"/>
        <w:rPr>
          <w:rFonts w:hint="eastAsia" w:ascii="仿宋" w:hAnsi="仿宋" w:eastAsia="仿宋" w:cs="Times New Roman"/>
          <w:b/>
          <w:bCs/>
          <w:color w:val="auto"/>
          <w:sz w:val="24"/>
          <w:szCs w:val="24"/>
          <w:highlight w:val="none"/>
        </w:rPr>
      </w:pPr>
      <w:bookmarkStart w:id="133" w:name="_Toc31402"/>
      <w:bookmarkStart w:id="134" w:name="_Toc23289"/>
      <w:bookmarkStart w:id="135" w:name="_Toc3769"/>
      <w:bookmarkStart w:id="136" w:name="_Toc19539"/>
      <w:bookmarkStart w:id="137" w:name="_Toc16752"/>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3"/>
      <w:bookmarkEnd w:id="134"/>
      <w:bookmarkEnd w:id="135"/>
      <w:bookmarkEnd w:id="136"/>
      <w:bookmarkEnd w:id="137"/>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服务</w:t>
      </w:r>
      <w:r>
        <w:rPr>
          <w:rFonts w:ascii="仿宋" w:hAnsi="仿宋" w:eastAsia="仿宋" w:cs="Times New Roman"/>
          <w:color w:val="auto"/>
          <w:sz w:val="24"/>
          <w:szCs w:val="24"/>
          <w:highlight w:val="none"/>
        </w:rPr>
        <w:t>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pPr>
        <w:spacing w:line="560" w:lineRule="exact"/>
        <w:ind w:firstLine="482" w:firstLineChars="200"/>
        <w:rPr>
          <w:rFonts w:hint="eastAsia" w:ascii="仿宋" w:hAnsi="仿宋" w:eastAsia="仿宋" w:cs="Times New Roman"/>
          <w:b/>
          <w:bCs/>
          <w:color w:val="auto"/>
          <w:sz w:val="24"/>
          <w:szCs w:val="24"/>
          <w:highlight w:val="none"/>
        </w:rPr>
      </w:pPr>
      <w:bookmarkStart w:id="138" w:name="_Toc9161"/>
      <w:bookmarkStart w:id="139" w:name="_Toc12412"/>
      <w:bookmarkStart w:id="140" w:name="_Toc13673"/>
      <w:bookmarkStart w:id="141" w:name="_Toc4133"/>
      <w:bookmarkStart w:id="142" w:name="_Toc27945"/>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38"/>
      <w:bookmarkEnd w:id="139"/>
      <w:bookmarkEnd w:id="140"/>
      <w:bookmarkEnd w:id="141"/>
      <w:bookmarkEnd w:id="142"/>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w:t>
      </w:r>
      <w:r>
        <w:rPr>
          <w:rFonts w:hint="eastAsia" w:ascii="仿宋" w:hAnsi="仿宋" w:eastAsia="仿宋" w:cs="Times New Roman"/>
          <w:color w:val="auto"/>
          <w:sz w:val="24"/>
          <w:szCs w:val="24"/>
          <w:highlight w:val="none"/>
        </w:rPr>
        <w:t>其提供的服务</w:t>
      </w:r>
      <w:r>
        <w:rPr>
          <w:rFonts w:ascii="仿宋" w:hAnsi="仿宋" w:eastAsia="仿宋" w:cs="Times New Roman"/>
          <w:color w:val="auto"/>
          <w:sz w:val="24"/>
          <w:szCs w:val="24"/>
          <w:highlight w:val="none"/>
        </w:rPr>
        <w:t>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 合同涉及技术成果的归属和收益的分成办法的，</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pPr>
        <w:spacing w:line="560" w:lineRule="exact"/>
        <w:ind w:firstLine="482" w:firstLineChars="200"/>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2.4 履约检查和问题反馈</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w:t>
      </w:r>
      <w:r>
        <w:rPr>
          <w:rFonts w:ascii="仿宋" w:hAnsi="仿宋" w:eastAsia="仿宋" w:cs="Times New Roman"/>
          <w:color w:val="auto"/>
          <w:sz w:val="24"/>
          <w:szCs w:val="24"/>
          <w:highlight w:val="none"/>
        </w:rPr>
        <w:t>.1甲方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合同履行期间，甲方有权将履行过程中出现的问题反馈给乙方，双方当事人应以书面形式约定需要完善和改进的内容。</w:t>
      </w:r>
    </w:p>
    <w:p>
      <w:pPr>
        <w:spacing w:line="560" w:lineRule="exact"/>
        <w:ind w:firstLine="482" w:firstLineChars="200"/>
        <w:rPr>
          <w:rFonts w:hint="eastAsia" w:ascii="仿宋" w:hAnsi="仿宋" w:eastAsia="仿宋" w:cs="Times New Roman"/>
          <w:b/>
          <w:bCs/>
          <w:color w:val="auto"/>
          <w:sz w:val="24"/>
          <w:szCs w:val="24"/>
          <w:highlight w:val="none"/>
        </w:rPr>
      </w:pPr>
      <w:bookmarkStart w:id="143" w:name="_Toc26555"/>
      <w:bookmarkStart w:id="144" w:name="_Toc22011"/>
      <w:bookmarkStart w:id="145" w:name="_Toc31233"/>
      <w:bookmarkStart w:id="146" w:name="_Toc32670"/>
      <w:bookmarkStart w:id="147" w:name="_Toc15447"/>
      <w:r>
        <w:rPr>
          <w:rFonts w:hint="eastAsia" w:ascii="仿宋" w:hAnsi="仿宋" w:eastAsia="仿宋" w:cs="Times New Roman"/>
          <w:b/>
          <w:bCs/>
          <w:color w:val="auto"/>
          <w:sz w:val="24"/>
          <w:szCs w:val="24"/>
          <w:highlight w:val="none"/>
        </w:rPr>
        <w:t xml:space="preserve">2.5 </w:t>
      </w:r>
      <w:r>
        <w:rPr>
          <w:rFonts w:ascii="仿宋" w:hAnsi="仿宋" w:eastAsia="仿宋" w:cs="Times New Roman"/>
          <w:b/>
          <w:bCs/>
          <w:color w:val="auto"/>
          <w:sz w:val="24"/>
          <w:szCs w:val="24"/>
          <w:highlight w:val="none"/>
        </w:rPr>
        <w:t>结算方式和付款条件</w:t>
      </w:r>
      <w:bookmarkEnd w:id="143"/>
      <w:bookmarkEnd w:id="144"/>
      <w:bookmarkEnd w:id="145"/>
      <w:bookmarkEnd w:id="146"/>
      <w:bookmarkEnd w:id="147"/>
    </w:p>
    <w:p>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pPr>
        <w:spacing w:line="560" w:lineRule="exact"/>
        <w:ind w:firstLine="482" w:firstLineChars="200"/>
        <w:rPr>
          <w:rFonts w:hint="eastAsia" w:ascii="仿宋" w:hAnsi="仿宋" w:eastAsia="仿宋" w:cs="Times New Roman"/>
          <w:b/>
          <w:bCs/>
          <w:color w:val="auto"/>
          <w:sz w:val="24"/>
          <w:szCs w:val="24"/>
          <w:highlight w:val="none"/>
        </w:rPr>
      </w:pPr>
      <w:bookmarkStart w:id="148" w:name="_Toc13154"/>
      <w:bookmarkStart w:id="149" w:name="_Toc30507"/>
      <w:bookmarkStart w:id="150" w:name="_Toc13467"/>
      <w:bookmarkStart w:id="151" w:name="_Toc18990"/>
      <w:bookmarkStart w:id="152" w:name="_Toc16163"/>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技术资料和保密义务</w:t>
      </w:r>
      <w:bookmarkEnd w:id="148"/>
      <w:bookmarkEnd w:id="149"/>
      <w:bookmarkEnd w:id="150"/>
      <w:bookmarkEnd w:id="151"/>
      <w:bookmarkEnd w:id="152"/>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2.6</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2.6.2 乙方有义务妥善保管和保护由甲方提供的前款信息和资料等；</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2.6</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p>
    <w:p>
      <w:pPr>
        <w:spacing w:line="560" w:lineRule="exact"/>
        <w:ind w:firstLine="482" w:firstLineChars="200"/>
        <w:rPr>
          <w:rFonts w:hint="eastAsia" w:ascii="仿宋" w:hAnsi="仿宋" w:eastAsia="仿宋" w:cs="Times New Roman"/>
          <w:b/>
          <w:bCs/>
          <w:color w:val="auto"/>
          <w:sz w:val="24"/>
          <w:szCs w:val="24"/>
          <w:highlight w:val="none"/>
        </w:rPr>
      </w:pPr>
      <w:bookmarkStart w:id="153" w:name="_Toc19069"/>
      <w:r>
        <w:rPr>
          <w:rFonts w:hint="eastAsia" w:ascii="仿宋" w:hAnsi="仿宋" w:eastAsia="仿宋" w:cs="Times New Roman"/>
          <w:b/>
          <w:bCs/>
          <w:color w:val="auto"/>
          <w:sz w:val="24"/>
          <w:szCs w:val="24"/>
          <w:highlight w:val="none"/>
        </w:rPr>
        <w:t>2.7 质量保证</w:t>
      </w:r>
      <w:bookmarkEnd w:id="153"/>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乙方应保证履行合同的人员数量和素质、软件和硬件设备的配置、场地、环境和设施等满足全面履行合同的要求，并应接受甲方的监督检查。</w:t>
      </w:r>
    </w:p>
    <w:p>
      <w:pPr>
        <w:spacing w:line="560" w:lineRule="exact"/>
        <w:ind w:firstLine="482" w:firstLineChars="200"/>
        <w:rPr>
          <w:rFonts w:hint="eastAsia" w:ascii="仿宋" w:hAnsi="仿宋" w:eastAsia="仿宋" w:cs="Times New Roman"/>
          <w:b/>
          <w:bCs/>
          <w:color w:val="auto"/>
          <w:sz w:val="24"/>
          <w:szCs w:val="24"/>
          <w:highlight w:val="none"/>
        </w:rPr>
      </w:pPr>
      <w:bookmarkStart w:id="154" w:name="_Toc22267"/>
      <w:r>
        <w:rPr>
          <w:rFonts w:hint="eastAsia" w:ascii="仿宋" w:hAnsi="仿宋" w:eastAsia="仿宋" w:cs="Times New Roman"/>
          <w:b/>
          <w:bCs/>
          <w:color w:val="auto"/>
          <w:sz w:val="24"/>
          <w:szCs w:val="24"/>
          <w:highlight w:val="none"/>
        </w:rPr>
        <w:t>2.8 延迟履行</w:t>
      </w:r>
      <w:bookmarkEnd w:id="154"/>
    </w:p>
    <w:p>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w:t>
      </w:r>
      <w:r>
        <w:rPr>
          <w:rFonts w:hint="eastAsia" w:ascii="仿宋" w:hAnsi="仿宋" w:eastAsia="仿宋" w:cs="Times New Roman"/>
          <w:color w:val="auto"/>
          <w:sz w:val="24"/>
          <w:szCs w:val="24"/>
          <w:highlight w:val="none"/>
        </w:rPr>
        <w:t>提供服务</w:t>
      </w:r>
      <w:r>
        <w:rPr>
          <w:rFonts w:ascii="仿宋" w:hAnsi="仿宋" w:eastAsia="仿宋" w:cs="Times New Roman"/>
          <w:color w:val="auto"/>
          <w:sz w:val="24"/>
          <w:szCs w:val="24"/>
          <w:highlight w:val="none"/>
        </w:rPr>
        <w:t>的情况，应及时以书面形式将不能按时</w:t>
      </w:r>
      <w:r>
        <w:rPr>
          <w:rFonts w:hint="eastAsia" w:ascii="仿宋" w:hAnsi="仿宋" w:eastAsia="仿宋" w:cs="Times New Roman"/>
          <w:color w:val="auto"/>
          <w:sz w:val="24"/>
          <w:szCs w:val="24"/>
          <w:highlight w:val="none"/>
        </w:rPr>
        <w:t>提供服务</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w:t>
      </w:r>
      <w:r>
        <w:rPr>
          <w:rFonts w:hint="eastAsia" w:ascii="仿宋" w:hAnsi="仿宋" w:eastAsia="仿宋" w:cs="Times New Roman"/>
          <w:color w:val="auto"/>
          <w:sz w:val="24"/>
          <w:szCs w:val="24"/>
          <w:highlight w:val="none"/>
        </w:rPr>
        <w:t>履行</w:t>
      </w:r>
      <w:r>
        <w:rPr>
          <w:rFonts w:ascii="仿宋" w:hAnsi="仿宋" w:eastAsia="仿宋" w:cs="Times New Roman"/>
          <w:color w:val="auto"/>
          <w:sz w:val="24"/>
          <w:szCs w:val="24"/>
          <w:highlight w:val="none"/>
        </w:rPr>
        <w:t>的具体时间。</w:t>
      </w:r>
    </w:p>
    <w:p>
      <w:pPr>
        <w:spacing w:line="560" w:lineRule="exact"/>
        <w:ind w:firstLine="482" w:firstLineChars="200"/>
        <w:rPr>
          <w:rFonts w:hint="eastAsia" w:ascii="仿宋" w:hAnsi="仿宋" w:eastAsia="仿宋" w:cs="Times New Roman"/>
          <w:b/>
          <w:bCs/>
          <w:color w:val="auto"/>
          <w:sz w:val="24"/>
          <w:szCs w:val="24"/>
          <w:highlight w:val="none"/>
        </w:rPr>
      </w:pPr>
      <w:bookmarkStart w:id="155" w:name="_Toc10611"/>
      <w:bookmarkStart w:id="156" w:name="_Toc279701254"/>
      <w:bookmarkStart w:id="157" w:name="_Toc259093683"/>
      <w:bookmarkStart w:id="158" w:name="_Ref467378121"/>
      <w:bookmarkStart w:id="159" w:name="_Toc487900364"/>
      <w:r>
        <w:rPr>
          <w:rFonts w:hint="eastAsia" w:ascii="仿宋" w:hAnsi="仿宋" w:eastAsia="仿宋" w:cs="Times New Roman"/>
          <w:b/>
          <w:bCs/>
          <w:color w:val="auto"/>
          <w:sz w:val="24"/>
          <w:szCs w:val="24"/>
          <w:highlight w:val="none"/>
        </w:rPr>
        <w:t>2.9 合同变更</w:t>
      </w:r>
      <w:bookmarkEnd w:id="155"/>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2.9.2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rPr>
          <w:rFonts w:hint="eastAsia" w:ascii="仿宋" w:hAnsi="仿宋" w:eastAsia="仿宋" w:cs="Times New Roman"/>
          <w:b/>
          <w:bCs/>
          <w:color w:val="auto"/>
          <w:sz w:val="24"/>
          <w:szCs w:val="24"/>
          <w:highlight w:val="none"/>
        </w:rPr>
      </w:pPr>
      <w:bookmarkStart w:id="160" w:name="_Toc23368"/>
      <w:bookmarkStart w:id="161" w:name="_Toc21830"/>
      <w:bookmarkStart w:id="162" w:name="_Toc26689"/>
      <w:bookmarkStart w:id="163" w:name="_Toc10663"/>
      <w:bookmarkStart w:id="164" w:name="_Toc42"/>
      <w:r>
        <w:rPr>
          <w:rFonts w:hint="eastAsia" w:ascii="仿宋" w:hAnsi="仿宋" w:eastAsia="仿宋" w:cs="Times New Roman"/>
          <w:b/>
          <w:bCs/>
          <w:color w:val="auto"/>
          <w:sz w:val="24"/>
          <w:szCs w:val="24"/>
          <w:highlight w:val="none"/>
        </w:rPr>
        <w:t xml:space="preserve">2.10 </w:t>
      </w:r>
      <w:r>
        <w:rPr>
          <w:rFonts w:ascii="仿宋" w:hAnsi="仿宋" w:eastAsia="仿宋" w:cs="Times New Roman"/>
          <w:b/>
          <w:bCs/>
          <w:color w:val="auto"/>
          <w:sz w:val="24"/>
          <w:szCs w:val="24"/>
          <w:highlight w:val="none"/>
        </w:rPr>
        <w:t>合同转让和分包</w:t>
      </w:r>
      <w:bookmarkEnd w:id="160"/>
      <w:bookmarkEnd w:id="161"/>
      <w:bookmarkEnd w:id="162"/>
      <w:bookmarkEnd w:id="163"/>
      <w:bookmarkEnd w:id="164"/>
    </w:p>
    <w:p>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pPr>
        <w:spacing w:line="560" w:lineRule="exact"/>
        <w:ind w:firstLine="482" w:firstLineChars="200"/>
        <w:rPr>
          <w:rFonts w:hint="eastAsia" w:ascii="仿宋" w:hAnsi="仿宋" w:eastAsia="仿宋" w:cs="Times New Roman"/>
          <w:b/>
          <w:bCs/>
          <w:color w:val="auto"/>
          <w:sz w:val="24"/>
          <w:szCs w:val="24"/>
          <w:highlight w:val="none"/>
        </w:rPr>
      </w:pPr>
      <w:bookmarkStart w:id="165" w:name="_Toc32494"/>
      <w:bookmarkStart w:id="166" w:name="_Toc25571"/>
      <w:bookmarkStart w:id="167" w:name="_Toc26633"/>
      <w:bookmarkStart w:id="168" w:name="_Toc4720"/>
      <w:bookmarkStart w:id="169" w:name="_Toc14371"/>
      <w:r>
        <w:rPr>
          <w:rFonts w:hint="eastAsia" w:ascii="仿宋" w:hAnsi="仿宋" w:eastAsia="仿宋" w:cs="Times New Roman"/>
          <w:b/>
          <w:bCs/>
          <w:color w:val="auto"/>
          <w:sz w:val="24"/>
          <w:szCs w:val="24"/>
          <w:highlight w:val="none"/>
        </w:rPr>
        <w:t>2.11</w:t>
      </w:r>
      <w:r>
        <w:rPr>
          <w:rFonts w:ascii="仿宋" w:hAnsi="仿宋" w:eastAsia="仿宋" w:cs="Times New Roman"/>
          <w:b/>
          <w:bCs/>
          <w:color w:val="auto"/>
          <w:sz w:val="24"/>
          <w:szCs w:val="24"/>
          <w:highlight w:val="none"/>
        </w:rPr>
        <w:t xml:space="preserve"> 不可抗力</w:t>
      </w:r>
      <w:bookmarkEnd w:id="165"/>
      <w:bookmarkEnd w:id="166"/>
      <w:bookmarkEnd w:id="167"/>
      <w:bookmarkEnd w:id="168"/>
      <w:bookmarkEnd w:id="169"/>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因不可抗力致使不能实现合同目的的，当事人可以解除合同；</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pPr>
        <w:spacing w:line="560" w:lineRule="exact"/>
        <w:ind w:firstLine="482" w:firstLineChars="200"/>
        <w:rPr>
          <w:rFonts w:hint="eastAsia" w:ascii="仿宋" w:hAnsi="仿宋" w:eastAsia="仿宋" w:cs="Times New Roman"/>
          <w:b/>
          <w:bCs/>
          <w:color w:val="auto"/>
          <w:sz w:val="24"/>
          <w:szCs w:val="24"/>
          <w:highlight w:val="none"/>
        </w:rPr>
      </w:pPr>
      <w:bookmarkStart w:id="170" w:name="_Toc25783"/>
      <w:bookmarkStart w:id="171" w:name="_Toc24465"/>
      <w:bookmarkStart w:id="172" w:name="_Toc14115"/>
      <w:bookmarkStart w:id="173" w:name="_Toc3638"/>
      <w:bookmarkStart w:id="174" w:name="_Toc23854"/>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2 </w:t>
      </w:r>
      <w:r>
        <w:rPr>
          <w:rFonts w:ascii="仿宋" w:hAnsi="仿宋" w:eastAsia="仿宋" w:cs="Times New Roman"/>
          <w:b/>
          <w:bCs/>
          <w:color w:val="auto"/>
          <w:sz w:val="24"/>
          <w:szCs w:val="24"/>
          <w:highlight w:val="none"/>
        </w:rPr>
        <w:t>税费</w:t>
      </w:r>
      <w:bookmarkEnd w:id="170"/>
      <w:bookmarkEnd w:id="171"/>
      <w:bookmarkEnd w:id="172"/>
      <w:bookmarkEnd w:id="173"/>
      <w:bookmarkEnd w:id="174"/>
    </w:p>
    <w:p>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均按照中华人民共和国法律的相关规定缴纳。</w:t>
      </w:r>
    </w:p>
    <w:p>
      <w:pPr>
        <w:spacing w:line="560" w:lineRule="exact"/>
        <w:ind w:firstLine="482" w:firstLineChars="200"/>
        <w:rPr>
          <w:rFonts w:hint="eastAsia" w:ascii="仿宋" w:hAnsi="仿宋" w:eastAsia="仿宋" w:cs="Times New Roman"/>
          <w:b/>
          <w:bCs/>
          <w:color w:val="auto"/>
          <w:sz w:val="24"/>
          <w:szCs w:val="24"/>
          <w:highlight w:val="none"/>
        </w:rPr>
      </w:pPr>
      <w:bookmarkStart w:id="175" w:name="_Toc25525"/>
      <w:bookmarkStart w:id="176" w:name="_Toc14814"/>
      <w:bookmarkStart w:id="177" w:name="_Toc26883"/>
      <w:bookmarkStart w:id="178" w:name="_Toc30105"/>
      <w:bookmarkStart w:id="179" w:name="_Toc7315"/>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3 </w:t>
      </w:r>
      <w:r>
        <w:rPr>
          <w:rFonts w:ascii="仿宋" w:hAnsi="仿宋" w:eastAsia="仿宋" w:cs="Times New Roman"/>
          <w:b/>
          <w:bCs/>
          <w:color w:val="auto"/>
          <w:sz w:val="24"/>
          <w:szCs w:val="24"/>
          <w:highlight w:val="none"/>
        </w:rPr>
        <w:t>乙方破产</w:t>
      </w:r>
      <w:bookmarkEnd w:id="175"/>
      <w:bookmarkEnd w:id="176"/>
      <w:bookmarkEnd w:id="177"/>
      <w:bookmarkEnd w:id="178"/>
      <w:bookmarkEnd w:id="179"/>
    </w:p>
    <w:p>
      <w:pPr>
        <w:spacing w:line="560" w:lineRule="exact"/>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pPr>
        <w:spacing w:line="560" w:lineRule="exact"/>
        <w:ind w:firstLine="482" w:firstLineChars="200"/>
        <w:rPr>
          <w:rFonts w:hint="eastAsia" w:ascii="仿宋" w:hAnsi="仿宋" w:eastAsia="仿宋" w:cs="Times New Roman"/>
          <w:b/>
          <w:bCs/>
          <w:color w:val="auto"/>
          <w:sz w:val="24"/>
          <w:szCs w:val="24"/>
          <w:highlight w:val="none"/>
        </w:rPr>
      </w:pPr>
      <w:bookmarkStart w:id="180" w:name="_Toc2016"/>
      <w:bookmarkStart w:id="181" w:name="_Toc23323"/>
      <w:bookmarkStart w:id="182" w:name="_Toc1123"/>
      <w:r>
        <w:rPr>
          <w:rFonts w:ascii="仿宋" w:hAnsi="仿宋" w:eastAsia="仿宋" w:cs="Times New Roman"/>
          <w:b/>
          <w:bCs/>
          <w:color w:val="auto"/>
          <w:sz w:val="24"/>
          <w:szCs w:val="24"/>
          <w:highlight w:val="none"/>
        </w:rPr>
        <w:t>2.14 合同中止、终止</w:t>
      </w:r>
      <w:bookmarkEnd w:id="180"/>
      <w:bookmarkEnd w:id="181"/>
      <w:bookmarkEnd w:id="182"/>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2.14.1 双方当事人不得擅自中止或者终止合同；</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Fonts w:hint="eastAsia" w:ascii="仿宋" w:hAnsi="仿宋" w:eastAsia="仿宋" w:cs="Times New Roman"/>
          <w:b/>
          <w:bCs/>
          <w:color w:val="auto"/>
          <w:sz w:val="24"/>
          <w:szCs w:val="24"/>
          <w:highlight w:val="none"/>
        </w:rPr>
      </w:pPr>
      <w:bookmarkStart w:id="183" w:name="_Toc1969"/>
      <w:bookmarkStart w:id="184" w:name="_Toc17363"/>
      <w:bookmarkStart w:id="185" w:name="_Toc14525"/>
      <w:r>
        <w:rPr>
          <w:rFonts w:ascii="仿宋" w:hAnsi="仿宋" w:eastAsia="仿宋" w:cs="Times New Roman"/>
          <w:b/>
          <w:bCs/>
          <w:color w:val="auto"/>
          <w:sz w:val="24"/>
          <w:szCs w:val="24"/>
          <w:highlight w:val="none"/>
        </w:rPr>
        <w:t>2.15 检验和验收</w:t>
      </w:r>
      <w:bookmarkEnd w:id="183"/>
      <w:bookmarkEnd w:id="184"/>
      <w:bookmarkEnd w:id="185"/>
    </w:p>
    <w:p>
      <w:pPr>
        <w:tabs>
          <w:tab w:val="left" w:pos="360"/>
          <w:tab w:val="left" w:pos="540"/>
          <w:tab w:val="left" w:pos="1080"/>
        </w:tabs>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 乙方按照</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的约定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定期提交服务报告</w:t>
      </w:r>
      <w:r>
        <w:rPr>
          <w:rFonts w:hint="eastAsia" w:ascii="仿宋" w:hAnsi="仿宋" w:eastAsia="仿宋" w:cs="Times New Roman"/>
          <w:color w:val="auto"/>
          <w:sz w:val="24"/>
          <w:szCs w:val="24"/>
          <w:highlight w:val="none"/>
        </w:rPr>
        <w:t>，甲方按照</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的约定进行定期验收</w:t>
      </w:r>
      <w:r>
        <w:rPr>
          <w:rFonts w:hint="eastAsia" w:ascii="仿宋" w:hAnsi="仿宋" w:eastAsia="仿宋" w:cs="Times New Roman"/>
          <w:color w:val="auto"/>
          <w:sz w:val="24"/>
          <w:szCs w:val="24"/>
          <w:highlight w:val="none"/>
        </w:rPr>
        <w:t>；</w:t>
      </w:r>
    </w:p>
    <w:p>
      <w:pPr>
        <w:tabs>
          <w:tab w:val="left" w:pos="360"/>
          <w:tab w:val="left" w:pos="540"/>
          <w:tab w:val="left" w:pos="1080"/>
        </w:tabs>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2.15.3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bookmarkEnd w:id="156"/>
    <w:bookmarkEnd w:id="157"/>
    <w:bookmarkEnd w:id="158"/>
    <w:bookmarkEnd w:id="159"/>
    <w:p>
      <w:pPr>
        <w:spacing w:line="560" w:lineRule="exact"/>
        <w:ind w:firstLine="482" w:firstLineChars="200"/>
        <w:rPr>
          <w:rFonts w:hint="eastAsia" w:ascii="仿宋" w:hAnsi="仿宋" w:eastAsia="仿宋" w:cs="Times New Roman"/>
          <w:b/>
          <w:bCs/>
          <w:color w:val="auto"/>
          <w:sz w:val="24"/>
          <w:szCs w:val="24"/>
          <w:highlight w:val="none"/>
        </w:rPr>
      </w:pPr>
      <w:bookmarkStart w:id="186" w:name="_Toc2308"/>
      <w:bookmarkStart w:id="187" w:name="_Toc31892"/>
      <w:bookmarkStart w:id="188" w:name="_Toc12666"/>
      <w:bookmarkStart w:id="189" w:name="_Toc9808"/>
      <w:bookmarkStart w:id="190" w:name="_Toc25198"/>
      <w:r>
        <w:rPr>
          <w:rFonts w:hint="eastAsia" w:ascii="仿宋" w:hAnsi="仿宋" w:eastAsia="仿宋" w:cs="Times New Roman"/>
          <w:b/>
          <w:bCs/>
          <w:color w:val="auto"/>
          <w:sz w:val="24"/>
          <w:szCs w:val="24"/>
          <w:highlight w:val="none"/>
        </w:rPr>
        <w:t xml:space="preserve">2.16 </w:t>
      </w:r>
      <w:r>
        <w:rPr>
          <w:rFonts w:ascii="仿宋" w:hAnsi="仿宋" w:eastAsia="仿宋" w:cs="Times New Roman"/>
          <w:b/>
          <w:bCs/>
          <w:color w:val="auto"/>
          <w:sz w:val="24"/>
          <w:szCs w:val="24"/>
          <w:highlight w:val="none"/>
        </w:rPr>
        <w:t>通知和送达</w:t>
      </w:r>
      <w:bookmarkEnd w:id="186"/>
      <w:bookmarkEnd w:id="187"/>
      <w:bookmarkEnd w:id="188"/>
      <w:bookmarkEnd w:id="189"/>
      <w:bookmarkEnd w:id="190"/>
    </w:p>
    <w:p>
      <w:pPr>
        <w:spacing w:line="560" w:lineRule="exact"/>
        <w:ind w:firstLine="480" w:firstLineChars="200"/>
        <w:rPr>
          <w:rFonts w:hint="eastAsia" w:ascii="仿宋" w:hAnsi="仿宋" w:eastAsia="仿宋" w:cs="Times New Roman"/>
          <w:color w:val="auto"/>
          <w:sz w:val="24"/>
          <w:szCs w:val="24"/>
          <w:highlight w:val="none"/>
        </w:rPr>
      </w:pPr>
      <w:bookmarkStart w:id="191" w:name="_Toc29220"/>
      <w:bookmarkStart w:id="192" w:name="_Toc7073"/>
      <w:r>
        <w:rPr>
          <w:rFonts w:hint="eastAsia" w:ascii="仿宋" w:hAnsi="仿宋" w:eastAsia="仿宋" w:cs="Times New Roman"/>
          <w:color w:val="auto"/>
          <w:sz w:val="24"/>
          <w:szCs w:val="24"/>
          <w:highlight w:val="none"/>
        </w:rPr>
        <w:t>2.16.1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191"/>
      <w:bookmarkEnd w:id="192"/>
    </w:p>
    <w:p>
      <w:pPr>
        <w:spacing w:line="560" w:lineRule="exact"/>
        <w:ind w:firstLine="480" w:firstLineChars="200"/>
        <w:rPr>
          <w:rFonts w:hint="eastAsia" w:ascii="仿宋" w:hAnsi="仿宋" w:eastAsia="仿宋" w:cs="Times New Roman"/>
          <w:color w:val="auto"/>
          <w:sz w:val="24"/>
          <w:szCs w:val="24"/>
          <w:highlight w:val="none"/>
        </w:rPr>
      </w:pPr>
      <w:bookmarkStart w:id="193" w:name="_Toc18401"/>
      <w:bookmarkStart w:id="194" w:name="_Toc27674"/>
      <w:r>
        <w:rPr>
          <w:rFonts w:hint="eastAsia" w:ascii="仿宋" w:hAnsi="仿宋" w:eastAsia="仿宋" w:cs="Times New Roman"/>
          <w:color w:val="auto"/>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3"/>
      <w:bookmarkEnd w:id="194"/>
    </w:p>
    <w:p>
      <w:pPr>
        <w:spacing w:line="560" w:lineRule="exact"/>
        <w:ind w:firstLine="482" w:firstLineChars="200"/>
        <w:rPr>
          <w:rFonts w:hint="eastAsia" w:ascii="仿宋" w:hAnsi="仿宋" w:eastAsia="仿宋" w:cs="Times New Roman"/>
          <w:b/>
          <w:bCs/>
          <w:color w:val="auto"/>
          <w:sz w:val="24"/>
          <w:szCs w:val="24"/>
          <w:highlight w:val="none"/>
        </w:rPr>
      </w:pPr>
      <w:bookmarkStart w:id="195" w:name="_Toc28906"/>
      <w:bookmarkStart w:id="196" w:name="_Toc20808"/>
      <w:bookmarkStart w:id="197" w:name="_Toc5063"/>
      <w:bookmarkStart w:id="198" w:name="_Toc12254"/>
      <w:bookmarkStart w:id="199" w:name="_Toc27644"/>
      <w:r>
        <w:rPr>
          <w:rFonts w:hint="eastAsia" w:ascii="仿宋" w:hAnsi="仿宋" w:eastAsia="仿宋" w:cs="Times New Roman"/>
          <w:b/>
          <w:bCs/>
          <w:color w:val="auto"/>
          <w:sz w:val="24"/>
          <w:szCs w:val="24"/>
          <w:highlight w:val="none"/>
        </w:rPr>
        <w:t>2.17 合同使用的文字和</w:t>
      </w:r>
      <w:r>
        <w:rPr>
          <w:rFonts w:ascii="仿宋" w:hAnsi="仿宋" w:eastAsia="仿宋" w:cs="Times New Roman"/>
          <w:b/>
          <w:bCs/>
          <w:color w:val="auto"/>
          <w:sz w:val="24"/>
          <w:szCs w:val="24"/>
          <w:highlight w:val="none"/>
        </w:rPr>
        <w:t>适用的法律</w:t>
      </w:r>
      <w:bookmarkEnd w:id="195"/>
      <w:bookmarkEnd w:id="196"/>
      <w:bookmarkEnd w:id="197"/>
      <w:bookmarkEnd w:id="198"/>
      <w:bookmarkEnd w:id="199"/>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 合同适用</w:t>
      </w:r>
      <w:r>
        <w:rPr>
          <w:rFonts w:ascii="仿宋" w:hAnsi="仿宋" w:eastAsia="仿宋" w:cs="Times New Roman"/>
          <w:color w:val="auto"/>
          <w:sz w:val="24"/>
          <w:szCs w:val="24"/>
          <w:highlight w:val="none"/>
        </w:rPr>
        <w:t>中华人民共和国法律。</w:t>
      </w:r>
    </w:p>
    <w:p>
      <w:pPr>
        <w:spacing w:line="560" w:lineRule="exact"/>
        <w:ind w:firstLine="482" w:firstLineChars="200"/>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2.18合同份数</w:t>
      </w:r>
    </w:p>
    <w:p>
      <w:pPr>
        <w:spacing w:line="560" w:lineRule="exact"/>
        <w:ind w:firstLine="480" w:firstLineChars="200"/>
        <w:rPr>
          <w:rFonts w:hint="eastAsia" w:ascii="仿宋" w:hAnsi="仿宋" w:eastAsia="仿宋" w:cs="Times New Roman"/>
          <w:b/>
          <w:bCs/>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pPr>
        <w:widowControl/>
        <w:spacing w:line="560" w:lineRule="exact"/>
        <w:ind w:firstLine="200"/>
        <w:jc w:val="left"/>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pPr>
        <w:autoSpaceDE w:val="0"/>
        <w:autoSpaceDN w:val="0"/>
        <w:adjustRightInd w:val="0"/>
        <w:spacing w:line="560" w:lineRule="exact"/>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第三部分  合同专用条款</w:t>
      </w:r>
    </w:p>
    <w:p>
      <w:pPr>
        <w:spacing w:line="560" w:lineRule="exact"/>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pPr>
              <w:spacing w:line="560" w:lineRule="exact"/>
              <w:jc w:val="center"/>
              <w:rPr>
                <w:rFonts w:hint="eastAsia"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仿宋" w:hAnsi="仿宋" w:eastAsia="仿宋" w:cs="Times New Roman"/>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仿宋" w:hAnsi="仿宋" w:eastAsia="仿宋" w:cs="Times New Roman"/>
                <w:color w:val="auto"/>
                <w:sz w:val="24"/>
                <w:szCs w:val="24"/>
                <w:highlight w:val="none"/>
              </w:rPr>
            </w:pPr>
          </w:p>
        </w:tc>
      </w:tr>
    </w:tbl>
    <w:p>
      <w:pPr>
        <w:rPr>
          <w:color w:val="auto"/>
          <w:highlight w:val="none"/>
        </w:rPr>
      </w:pPr>
    </w:p>
    <w:p>
      <w:pPr>
        <w:widowControl/>
        <w:jc w:val="left"/>
        <w:rPr>
          <w:rFonts w:hint="eastAsia"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pPr>
        <w:pStyle w:val="5"/>
        <w:spacing w:before="159" w:beforeLines="50" w:after="159" w:afterLines="50" w:line="360" w:lineRule="auto"/>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pPr>
        <w:widowControl/>
        <w:shd w:val="clear" w:color="auto" w:fill="FFFFFF"/>
        <w:spacing w:line="360" w:lineRule="auto"/>
        <w:ind w:firstLine="482" w:firstLineChars="200"/>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响应文件由资格审查证明材料、价格文件、商务技术文件三部分组成。</w:t>
      </w:r>
    </w:p>
    <w:p>
      <w:pPr>
        <w:widowControl/>
        <w:shd w:val="clear" w:color="auto" w:fill="FFFFFF"/>
        <w:spacing w:line="360" w:lineRule="auto"/>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一、资格审查证明材料（</w:t>
      </w:r>
      <w:r>
        <w:rPr>
          <w:rFonts w:hint="eastAsia" w:ascii="仿宋" w:hAnsi="仿宋" w:eastAsia="仿宋" w:cs="仿宋"/>
          <w:b/>
          <w:color w:val="auto"/>
          <w:sz w:val="24"/>
          <w:szCs w:val="24"/>
          <w:highlight w:val="none"/>
        </w:rPr>
        <w:t>一正二副，单独密封并牢固装订，</w:t>
      </w:r>
      <w:r>
        <w:rPr>
          <w:rFonts w:ascii="仿宋" w:hAnsi="仿宋" w:eastAsia="仿宋" w:cs="仿宋"/>
          <w:b/>
          <w:color w:val="auto"/>
          <w:sz w:val="24"/>
          <w:szCs w:val="24"/>
          <w:highlight w:val="none"/>
        </w:rPr>
        <w:t>不能出现商务技术文件、价格文件）</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供应商符合资格要求的承诺函；（格式见附件1）</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.法定代表人授权委托书原件，比选代表本人身份证复印件；（格式见附件3）</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供应商未被“信用中国”网站（www.creditchina.gov.cn）列入失信被执行人、重大税收违法案件当事人名单、采购严重失信行为记录名单（提供网页查询截图）；</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rPr>
        <w:t>9</w:t>
      </w:r>
      <w:r>
        <w:rPr>
          <w:rFonts w:ascii="仿宋" w:hAnsi="仿宋" w:eastAsia="仿宋" w:cs="仿宋"/>
          <w:bCs/>
          <w:color w:val="auto"/>
          <w:sz w:val="24"/>
          <w:szCs w:val="24"/>
          <w:highlight w:val="none"/>
        </w:rPr>
        <w:t>）</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7.比选公告资格要求提供相应的佐证材料；</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8.其它需要提交的资格审查证明材料。</w:t>
      </w:r>
    </w:p>
    <w:p>
      <w:pPr>
        <w:widowControl/>
        <w:shd w:val="clear" w:color="auto" w:fill="FFFFFF"/>
        <w:spacing w:line="360" w:lineRule="auto"/>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二、商务技术文件（</w:t>
      </w:r>
      <w:r>
        <w:rPr>
          <w:rFonts w:hint="eastAsia" w:ascii="仿宋" w:hAnsi="仿宋" w:eastAsia="仿宋" w:cs="仿宋"/>
          <w:b/>
          <w:color w:val="auto"/>
          <w:sz w:val="24"/>
          <w:szCs w:val="24"/>
          <w:highlight w:val="none"/>
        </w:rPr>
        <w:t>一正二副，单独密封并牢固装订，</w:t>
      </w:r>
      <w:r>
        <w:rPr>
          <w:rFonts w:ascii="仿宋" w:hAnsi="仿宋" w:eastAsia="仿宋" w:cs="仿宋"/>
          <w:b/>
          <w:color w:val="auto"/>
          <w:sz w:val="24"/>
          <w:szCs w:val="24"/>
          <w:highlight w:val="none"/>
        </w:rPr>
        <w:t>不能出现价格文件）</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1.供应商情况一览表；（格式见附件4）</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2.商务部分正负偏离表；（格式见附件5）</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3.技术部分正负偏离表；（格式见附件6）</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4.响应方案、货物（服务）清单。具有项目、数量、品牌、型号、配置性能等；</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5.商务技术评分标准中须提供的相关得分佐证材料；</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6.供应商认为需要提交的其他商务技术材料。</w:t>
      </w:r>
    </w:p>
    <w:p>
      <w:pPr>
        <w:widowControl/>
        <w:shd w:val="clear" w:color="auto" w:fill="FFFFFF"/>
        <w:spacing w:line="360" w:lineRule="auto"/>
        <w:jc w:val="left"/>
        <w:rPr>
          <w:rFonts w:hint="eastAsia" w:ascii="仿宋" w:hAnsi="仿宋" w:eastAsia="仿宋" w:cs="仿宋"/>
          <w:b/>
          <w:color w:val="auto"/>
          <w:sz w:val="24"/>
          <w:szCs w:val="24"/>
          <w:highlight w:val="none"/>
        </w:rPr>
      </w:pPr>
      <w:r>
        <w:rPr>
          <w:rFonts w:ascii="仿宋" w:hAnsi="仿宋" w:eastAsia="仿宋" w:cs="仿宋"/>
          <w:b/>
          <w:color w:val="auto"/>
          <w:sz w:val="24"/>
          <w:szCs w:val="24"/>
          <w:highlight w:val="none"/>
        </w:rPr>
        <w:t>三、价格文件</w:t>
      </w:r>
      <w:r>
        <w:rPr>
          <w:rFonts w:hint="eastAsia" w:ascii="仿宋" w:hAnsi="仿宋" w:eastAsia="仿宋" w:cs="仿宋"/>
          <w:b/>
          <w:color w:val="auto"/>
          <w:sz w:val="24"/>
          <w:szCs w:val="24"/>
          <w:highlight w:val="none"/>
        </w:rPr>
        <w:t>（一正二副，单独密封并牢固装订）</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1.报价总表；（格式见附件7）</w:t>
      </w:r>
    </w:p>
    <w:p>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2.分项报价明细表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pPr>
        <w:widowControl/>
        <w:shd w:val="clear" w:color="auto" w:fill="FFFFFF"/>
        <w:spacing w:line="360" w:lineRule="auto"/>
        <w:ind w:firstLine="560" w:firstLineChars="200"/>
        <w:jc w:val="left"/>
        <w:rPr>
          <w:rFonts w:hint="eastAsia"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pPr>
        <w:snapToGrid w:val="0"/>
        <w:spacing w:line="360" w:lineRule="auto"/>
        <w:contextualSpacing/>
        <w:rPr>
          <w:rFonts w:hint="eastAsia"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pPr>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供应商符合资格要求的承诺函</w:t>
      </w:r>
    </w:p>
    <w:p>
      <w:pPr>
        <w:spacing w:line="360" w:lineRule="auto"/>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pPr>
        <w:spacing w:line="360" w:lineRule="auto"/>
        <w:ind w:firstLine="480" w:firstLineChars="200"/>
        <w:rPr>
          <w:rFonts w:hint="eastAsia"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（项目编号）投标活动。做出如下声明：</w:t>
      </w:r>
    </w:p>
    <w:p>
      <w:pPr>
        <w:widowControl/>
        <w:shd w:val="clear" w:color="auto" w:fill="FFFFFF"/>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Times New Roman"/>
          <w:bCs/>
          <w:color w:val="auto"/>
          <w:sz w:val="24"/>
          <w:szCs w:val="24"/>
          <w:highlight w:val="none"/>
        </w:rPr>
        <w:t>.</w:t>
      </w:r>
      <w:r>
        <w:rPr>
          <w:rFonts w:hint="eastAsia" w:ascii="仿宋" w:hAnsi="仿宋" w:eastAsia="仿宋" w:cs="仿宋"/>
          <w:color w:val="auto"/>
          <w:sz w:val="24"/>
          <w:szCs w:val="24"/>
          <w:highlight w:val="none"/>
        </w:rPr>
        <w:t>我单位为依法成立的会计师事务所；</w:t>
      </w:r>
    </w:p>
    <w:p>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2.我单位具有独立承担民事责任的能力；</w:t>
      </w:r>
    </w:p>
    <w:p>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3.我单位具有良好的商业信誉和健全的财务会计制度；</w:t>
      </w:r>
    </w:p>
    <w:p>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4.我单位具有履行合同所必需的设备和专业技术能力；</w:t>
      </w:r>
    </w:p>
    <w:p>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5.我单位有依法缴纳税收和社会保障资金的良好记录；</w:t>
      </w:r>
    </w:p>
    <w:p>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参加采购活动前三年内，在经营活动中没有重大违法记录；（1.供应商在参加采购活动前三年内因违法经营被禁止在一定期限内参加采购活动，期限届满的，可以参加采购活动。2.采购相关规定的“较大数额罚款”认定为200万元以上的罚款，法律、行政法规以及国务院有关部门明确规定相关领域“较大数额罚款”标准高于200万元的，从其规定。）</w:t>
      </w:r>
    </w:p>
    <w:p>
      <w:pPr>
        <w:spacing w:line="360" w:lineRule="auto"/>
        <w:ind w:firstLine="482"/>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7.我单位满足法律、行政法规规定的其他条件。</w:t>
      </w:r>
    </w:p>
    <w:p>
      <w:pPr>
        <w:spacing w:line="360" w:lineRule="auto"/>
        <w:rPr>
          <w:rFonts w:hint="eastAsia" w:ascii="仿宋" w:hAnsi="仿宋" w:eastAsia="仿宋" w:cs="Times New Roman"/>
          <w:bCs/>
          <w:color w:val="auto"/>
          <w:sz w:val="24"/>
          <w:szCs w:val="24"/>
          <w:highlight w:val="none"/>
        </w:rPr>
      </w:pPr>
    </w:p>
    <w:p>
      <w:pPr>
        <w:spacing w:line="360" w:lineRule="auto"/>
        <w:rPr>
          <w:rFonts w:hint="eastAsia"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pPr>
        <w:spacing w:line="360" w:lineRule="auto"/>
        <w:ind w:right="1120"/>
        <w:rPr>
          <w:rFonts w:hint="eastAsia"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pPr>
        <w:widowControl/>
        <w:spacing w:line="360" w:lineRule="auto"/>
        <w:jc w:val="left"/>
        <w:rPr>
          <w:rFonts w:hint="eastAsia"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pPr>
        <w:snapToGrid w:val="0"/>
        <w:spacing w:line="360" w:lineRule="auto"/>
        <w:contextualSpacing/>
        <w:rPr>
          <w:rFonts w:hint="eastAsia"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pPr>
        <w:spacing w:line="360" w:lineRule="auto"/>
        <w:jc w:val="center"/>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pPr>
        <w:spacing w:line="360" w:lineRule="auto"/>
        <w:ind w:firstLine="480" w:firstLineChars="200"/>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pPr>
        <w:spacing w:line="360" w:lineRule="auto"/>
        <w:ind w:firstLine="480"/>
        <w:rPr>
          <w:rFonts w:hint="eastAsia"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pPr>
        <w:spacing w:line="360" w:lineRule="auto"/>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pPr>
        <w:snapToGrid w:val="0"/>
        <w:spacing w:line="360" w:lineRule="auto"/>
        <w:contextualSpacing/>
        <w:rPr>
          <w:rFonts w:hint="eastAsia" w:ascii="仿宋" w:hAnsi="仿宋" w:eastAsia="仿宋" w:cs="宋体"/>
          <w:b/>
          <w:color w:val="auto"/>
          <w:kern w:val="0"/>
          <w:sz w:val="24"/>
          <w:szCs w:val="24"/>
          <w:highlight w:val="none"/>
          <w:lang w:val="zh-CN"/>
        </w:rPr>
      </w:pPr>
    </w:p>
    <w:p>
      <w:pPr>
        <w:snapToGrid w:val="0"/>
        <w:spacing w:line="360" w:lineRule="auto"/>
        <w:contextualSpacing/>
        <w:rPr>
          <w:rFonts w:hint="eastAsia" w:ascii="仿宋" w:hAnsi="仿宋" w:eastAsia="仿宋" w:cs="宋体"/>
          <w:b/>
          <w:color w:val="auto"/>
          <w:kern w:val="0"/>
          <w:sz w:val="24"/>
          <w:szCs w:val="24"/>
          <w:highlight w:val="none"/>
          <w:lang w:val="zh-CN"/>
        </w:rPr>
      </w:pPr>
    </w:p>
    <w:p>
      <w:pPr>
        <w:snapToGrid w:val="0"/>
        <w:spacing w:line="360" w:lineRule="auto"/>
        <w:contextualSpacing/>
        <w:rPr>
          <w:rFonts w:hint="eastAsia" w:ascii="仿宋" w:hAnsi="仿宋" w:eastAsia="仿宋" w:cs="宋体"/>
          <w:b/>
          <w:color w:val="auto"/>
          <w:kern w:val="0"/>
          <w:sz w:val="24"/>
          <w:szCs w:val="24"/>
          <w:highlight w:val="none"/>
          <w:lang w:val="zh-CN"/>
        </w:rPr>
      </w:pPr>
    </w:p>
    <w:p>
      <w:pPr>
        <w:snapToGrid w:val="0"/>
        <w:spacing w:line="360" w:lineRule="auto"/>
        <w:contextualSpacing/>
        <w:rPr>
          <w:rFonts w:hint="eastAsia"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pPr>
        <w:spacing w:line="360" w:lineRule="auto"/>
        <w:jc w:val="center"/>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pPr>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pPr>
        <w:spacing w:line="360" w:lineRule="auto"/>
        <w:ind w:firstLine="360" w:firstLineChars="15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pPr>
        <w:spacing w:line="360" w:lineRule="auto"/>
        <w:jc w:val="right"/>
        <w:rPr>
          <w:rFonts w:hint="eastAsia" w:ascii="仿宋" w:hAnsi="仿宋" w:eastAsia="仿宋" w:cs="Times New Roman"/>
          <w:color w:val="auto"/>
          <w:sz w:val="24"/>
          <w:szCs w:val="24"/>
          <w:highlight w:val="none"/>
        </w:rPr>
      </w:pPr>
    </w:p>
    <w:p>
      <w:pPr>
        <w:spacing w:line="360" w:lineRule="auto"/>
        <w:jc w:val="right"/>
        <w:rPr>
          <w:rFonts w:hint="eastAsia"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pPr>
        <w:snapToGrid w:val="0"/>
        <w:spacing w:line="360" w:lineRule="auto"/>
        <w:contextualSpacing/>
        <w:rPr>
          <w:rFonts w:hint="eastAsia"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pPr>
        <w:tabs>
          <w:tab w:val="left" w:pos="1260"/>
        </w:tabs>
        <w:snapToGrid w:val="0"/>
        <w:spacing w:line="360" w:lineRule="auto"/>
        <w:contextualSpacing/>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6"/>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46"/>
        <w:gridCol w:w="7"/>
        <w:gridCol w:w="1256"/>
        <w:gridCol w:w="151"/>
        <w:gridCol w:w="1122"/>
        <w:gridCol w:w="62"/>
        <w:gridCol w:w="154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2"/>
            <w:vAlign w:val="center"/>
          </w:tcPr>
          <w:p>
            <w:pPr>
              <w:tabs>
                <w:tab w:val="left" w:pos="4320"/>
              </w:tabs>
              <w:spacing w:line="360" w:lineRule="auto"/>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11"/>
            <w:vAlign w:val="center"/>
          </w:tcPr>
          <w:p>
            <w:pPr>
              <w:tabs>
                <w:tab w:val="left" w:pos="4320"/>
              </w:tabs>
              <w:spacing w:line="360" w:lineRule="auto"/>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restart"/>
            <w:vAlign w:val="center"/>
          </w:tcPr>
          <w:p>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pPr>
              <w:tabs>
                <w:tab w:val="left" w:pos="4320"/>
              </w:tabs>
              <w:spacing w:line="360" w:lineRule="auto"/>
              <w:jc w:val="righ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3"/>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184"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pPr>
              <w:tabs>
                <w:tab w:val="left" w:pos="4320"/>
              </w:tabs>
              <w:spacing w:line="360" w:lineRule="auto"/>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pPr>
              <w:tabs>
                <w:tab w:val="left" w:pos="4320"/>
              </w:tabs>
              <w:spacing w:line="360" w:lineRule="auto"/>
              <w:ind w:left="266" w:hanging="266" w:hangingChars="111"/>
              <w:rPr>
                <w:rFonts w:hint="eastAsia" w:ascii="仿宋" w:hAnsi="仿宋" w:eastAsia="仿宋" w:cs="Times New Roman"/>
                <w:color w:val="auto"/>
                <w:sz w:val="24"/>
                <w:szCs w:val="24"/>
                <w:highlight w:val="none"/>
              </w:rPr>
            </w:pPr>
          </w:p>
        </w:tc>
        <w:tc>
          <w:tcPr>
            <w:tcW w:w="1276"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pPr>
              <w:tabs>
                <w:tab w:val="left" w:pos="4320"/>
              </w:tabs>
              <w:spacing w:line="360" w:lineRule="auto"/>
              <w:jc w:val="righ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946" w:type="dxa"/>
            <w:vMerge w:val="restart"/>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6"/>
            <w:vAlign w:val="center"/>
          </w:tcPr>
          <w:p>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116" w:hRule="atLeast"/>
        </w:trPr>
        <w:tc>
          <w:tcPr>
            <w:tcW w:w="817" w:type="dxa"/>
            <w:vMerge w:val="continue"/>
            <w:vAlign w:val="center"/>
          </w:tcPr>
          <w:p>
            <w:pPr>
              <w:tabs>
                <w:tab w:val="left" w:pos="4320"/>
              </w:tabs>
              <w:spacing w:line="360" w:lineRule="auto"/>
              <w:ind w:left="266" w:hanging="266" w:hangingChars="111"/>
              <w:rPr>
                <w:rFonts w:hint="eastAsia" w:ascii="仿宋" w:hAnsi="仿宋" w:eastAsia="仿宋" w:cs="Times New Roman"/>
                <w:color w:val="auto"/>
                <w:sz w:val="24"/>
                <w:szCs w:val="24"/>
                <w:highlight w:val="none"/>
              </w:rPr>
            </w:pPr>
          </w:p>
        </w:tc>
        <w:tc>
          <w:tcPr>
            <w:tcW w:w="1276"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pPr>
              <w:tabs>
                <w:tab w:val="left" w:pos="-48"/>
                <w:tab w:val="left" w:pos="4320"/>
              </w:tabs>
              <w:spacing w:line="360" w:lineRule="auto"/>
              <w:ind w:right="-133" w:hanging="48"/>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pPr>
              <w:tabs>
                <w:tab w:val="left" w:pos="-48"/>
                <w:tab w:val="left" w:pos="4320"/>
              </w:tabs>
              <w:spacing w:line="360" w:lineRule="auto"/>
              <w:ind w:right="-133" w:hanging="48"/>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946" w:type="dxa"/>
            <w:vMerge w:val="continue"/>
            <w:vAlign w:val="center"/>
          </w:tcPr>
          <w:p>
            <w:pPr>
              <w:tabs>
                <w:tab w:val="left" w:pos="4320"/>
              </w:tabs>
              <w:spacing w:line="360" w:lineRule="auto"/>
              <w:jc w:val="center"/>
              <w:rPr>
                <w:rFonts w:hint="eastAsia" w:ascii="仿宋" w:hAnsi="仿宋" w:eastAsia="仿宋" w:cs="Times New Roman"/>
                <w:color w:val="auto"/>
                <w:sz w:val="24"/>
                <w:szCs w:val="24"/>
                <w:highlight w:val="none"/>
              </w:rPr>
            </w:pPr>
          </w:p>
        </w:tc>
        <w:tc>
          <w:tcPr>
            <w:tcW w:w="4142" w:type="dxa"/>
            <w:gridSpan w:val="6"/>
            <w:vAlign w:val="center"/>
          </w:tcPr>
          <w:p>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pPr>
              <w:tabs>
                <w:tab w:val="left" w:pos="4320"/>
              </w:tabs>
              <w:spacing w:line="360" w:lineRule="auto"/>
              <w:ind w:left="266" w:hanging="266" w:hangingChars="111"/>
              <w:rPr>
                <w:rFonts w:hint="eastAsia" w:ascii="仿宋" w:hAnsi="仿宋" w:eastAsia="仿宋" w:cs="Times New Roman"/>
                <w:color w:val="auto"/>
                <w:sz w:val="24"/>
                <w:szCs w:val="24"/>
                <w:highlight w:val="none"/>
              </w:rPr>
            </w:pPr>
          </w:p>
        </w:tc>
        <w:tc>
          <w:tcPr>
            <w:tcW w:w="1276"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pPr>
              <w:tabs>
                <w:tab w:val="left" w:pos="4320"/>
              </w:tabs>
              <w:spacing w:line="360" w:lineRule="auto"/>
              <w:jc w:val="righ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946" w:type="dxa"/>
            <w:vMerge w:val="continue"/>
            <w:vAlign w:val="center"/>
          </w:tcPr>
          <w:p>
            <w:pPr>
              <w:tabs>
                <w:tab w:val="left" w:pos="4320"/>
              </w:tabs>
              <w:spacing w:line="360" w:lineRule="auto"/>
              <w:jc w:val="center"/>
              <w:rPr>
                <w:rFonts w:hint="eastAsia" w:ascii="仿宋" w:hAnsi="仿宋" w:eastAsia="仿宋" w:cs="Times New Roman"/>
                <w:color w:val="auto"/>
                <w:sz w:val="24"/>
                <w:szCs w:val="24"/>
                <w:highlight w:val="none"/>
              </w:rPr>
            </w:pPr>
          </w:p>
        </w:tc>
        <w:tc>
          <w:tcPr>
            <w:tcW w:w="4142" w:type="dxa"/>
            <w:gridSpan w:val="6"/>
            <w:vAlign w:val="center"/>
          </w:tcPr>
          <w:p>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restart"/>
            <w:vAlign w:val="center"/>
          </w:tcPr>
          <w:p>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pPr>
              <w:tabs>
                <w:tab w:val="left" w:pos="4320"/>
              </w:tabs>
              <w:spacing w:line="360" w:lineRule="auto"/>
              <w:ind w:left="266" w:hanging="266" w:hangingChars="111"/>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pPr>
              <w:tabs>
                <w:tab w:val="left" w:pos="4320"/>
              </w:tabs>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643" w:type="dxa"/>
            <w:gridSpan w:val="3"/>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778"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946" w:type="dxa"/>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263"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273"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606"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643" w:type="dxa"/>
            <w:gridSpan w:val="3"/>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778"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946" w:type="dxa"/>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263"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273"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606"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643" w:type="dxa"/>
            <w:gridSpan w:val="3"/>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778"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946" w:type="dxa"/>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263"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273"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606"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97" w:hRule="atLeast"/>
        </w:trPr>
        <w:tc>
          <w:tcPr>
            <w:tcW w:w="817" w:type="dxa"/>
            <w:vMerge w:val="continue"/>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643" w:type="dxa"/>
            <w:gridSpan w:val="3"/>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778"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946" w:type="dxa"/>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263"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273"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1606" w:type="dxa"/>
            <w:gridSpan w:val="2"/>
            <w:vAlign w:val="center"/>
          </w:tcPr>
          <w:p>
            <w:pPr>
              <w:tabs>
                <w:tab w:val="left" w:pos="4320"/>
              </w:tabs>
              <w:spacing w:line="360" w:lineRule="auto"/>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7"/>
            <w:vAlign w:val="center"/>
          </w:tcPr>
          <w:p>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发现，或被它人举证成立，其比选资格将被取消）。</w:t>
            </w:r>
          </w:p>
        </w:tc>
        <w:tc>
          <w:tcPr>
            <w:tcW w:w="4142" w:type="dxa"/>
            <w:gridSpan w:val="6"/>
            <w:vAlign w:val="center"/>
          </w:tcPr>
          <w:p>
            <w:pPr>
              <w:tabs>
                <w:tab w:val="left" w:pos="4320"/>
              </w:tabs>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4374" w:type="dxa"/>
            <w:gridSpan w:val="7"/>
            <w:vAlign w:val="center"/>
          </w:tcPr>
          <w:p>
            <w:pPr>
              <w:tabs>
                <w:tab w:val="left" w:pos="4320"/>
              </w:tabs>
              <w:spacing w:line="360" w:lineRule="auto"/>
              <w:rPr>
                <w:rFonts w:hint="eastAsia" w:ascii="仿宋" w:hAnsi="仿宋" w:eastAsia="仿宋" w:cs="Times New Roman"/>
                <w:color w:val="auto"/>
                <w:sz w:val="24"/>
                <w:szCs w:val="24"/>
                <w:highlight w:val="none"/>
              </w:rPr>
            </w:pPr>
          </w:p>
        </w:tc>
        <w:tc>
          <w:tcPr>
            <w:tcW w:w="4142" w:type="dxa"/>
            <w:gridSpan w:val="6"/>
            <w:vAlign w:val="center"/>
          </w:tcPr>
          <w:p>
            <w:pPr>
              <w:tabs>
                <w:tab w:val="left" w:pos="4320"/>
              </w:tabs>
              <w:spacing w:line="360" w:lineRule="auto"/>
              <w:rPr>
                <w:rFonts w:hint="eastAsia" w:ascii="仿宋" w:hAnsi="仿宋" w:eastAsia="仿宋" w:cs="Times New Roman"/>
                <w:color w:val="auto"/>
                <w:sz w:val="24"/>
                <w:szCs w:val="24"/>
                <w:highlight w:val="none"/>
              </w:rPr>
            </w:pPr>
          </w:p>
        </w:tc>
      </w:tr>
    </w:tbl>
    <w:p>
      <w:pPr>
        <w:snapToGrid w:val="0"/>
        <w:spacing w:line="360" w:lineRule="auto"/>
        <w:contextualSpacing/>
        <w:rPr>
          <w:rFonts w:hint="eastAsia" w:ascii="仿宋" w:hAnsi="仿宋" w:eastAsia="仿宋" w:cs="Times New Roman"/>
          <w:color w:val="auto"/>
          <w:kern w:val="0"/>
          <w:sz w:val="24"/>
          <w:szCs w:val="24"/>
          <w:highlight w:val="none"/>
        </w:rPr>
      </w:pPr>
    </w:p>
    <w:p>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pPr>
        <w:snapToGrid w:val="0"/>
        <w:spacing w:line="360" w:lineRule="auto"/>
        <w:contextualSpacing/>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pPr>
        <w:spacing w:line="360" w:lineRule="auto"/>
        <w:ind w:firstLine="480" w:firstLineChars="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trPr>
        <w:tc>
          <w:tcPr>
            <w:tcW w:w="460" w:type="pct"/>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比选文件要求的商务条款</w:t>
            </w:r>
          </w:p>
        </w:tc>
        <w:tc>
          <w:tcPr>
            <w:tcW w:w="1413" w:type="pct"/>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pPr>
              <w:spacing w:line="360" w:lineRule="auto"/>
              <w:jc w:val="center"/>
              <w:rPr>
                <w:rFonts w:hint="eastAsia" w:ascii="仿宋" w:hAnsi="仿宋" w:eastAsia="仿宋" w:cs="Times New Roman"/>
                <w:color w:val="auto"/>
                <w:sz w:val="24"/>
                <w:szCs w:val="24"/>
                <w:highlight w:val="none"/>
              </w:rPr>
            </w:pPr>
          </w:p>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pPr>
              <w:spacing w:line="360" w:lineRule="auto"/>
              <w:jc w:val="left"/>
              <w:rPr>
                <w:rFonts w:hint="eastAsia" w:ascii="仿宋" w:hAnsi="仿宋" w:eastAsia="仿宋" w:cs="Times New Roman"/>
                <w:color w:val="auto"/>
                <w:sz w:val="24"/>
                <w:szCs w:val="24"/>
                <w:highlight w:val="none"/>
              </w:rPr>
            </w:pPr>
          </w:p>
        </w:tc>
        <w:tc>
          <w:tcPr>
            <w:tcW w:w="1095" w:type="pct"/>
            <w:vAlign w:val="center"/>
          </w:tcPr>
          <w:p>
            <w:pPr>
              <w:spacing w:line="360" w:lineRule="auto"/>
              <w:jc w:val="left"/>
              <w:rPr>
                <w:rFonts w:hint="eastAsia" w:ascii="仿宋" w:hAnsi="仿宋" w:eastAsia="仿宋" w:cs="Times New Roman"/>
                <w:color w:val="auto"/>
                <w:sz w:val="24"/>
                <w:szCs w:val="24"/>
                <w:highlight w:val="none"/>
              </w:rPr>
            </w:pPr>
          </w:p>
        </w:tc>
        <w:tc>
          <w:tcPr>
            <w:tcW w:w="1413" w:type="pct"/>
            <w:vAlign w:val="center"/>
          </w:tcPr>
          <w:p>
            <w:pPr>
              <w:spacing w:line="360" w:lineRule="auto"/>
              <w:jc w:val="left"/>
              <w:rPr>
                <w:rFonts w:hint="eastAsia" w:ascii="仿宋" w:hAnsi="仿宋" w:eastAsia="仿宋" w:cs="Times New Roman"/>
                <w:color w:val="auto"/>
                <w:sz w:val="24"/>
                <w:szCs w:val="24"/>
                <w:highlight w:val="none"/>
              </w:rPr>
            </w:pPr>
          </w:p>
        </w:tc>
        <w:tc>
          <w:tcPr>
            <w:tcW w:w="778" w:type="pct"/>
          </w:tcPr>
          <w:p>
            <w:pPr>
              <w:spacing w:line="360" w:lineRule="auto"/>
              <w:jc w:val="left"/>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pPr>
              <w:spacing w:line="360" w:lineRule="auto"/>
              <w:jc w:val="left"/>
              <w:rPr>
                <w:rFonts w:hint="eastAsia" w:ascii="仿宋" w:hAnsi="仿宋" w:eastAsia="仿宋" w:cs="Times New Roman"/>
                <w:color w:val="auto"/>
                <w:sz w:val="24"/>
                <w:szCs w:val="24"/>
                <w:highlight w:val="none"/>
              </w:rPr>
            </w:pPr>
          </w:p>
        </w:tc>
        <w:tc>
          <w:tcPr>
            <w:tcW w:w="1095" w:type="pct"/>
            <w:vAlign w:val="center"/>
          </w:tcPr>
          <w:p>
            <w:pPr>
              <w:spacing w:line="360" w:lineRule="auto"/>
              <w:jc w:val="left"/>
              <w:rPr>
                <w:rFonts w:hint="eastAsia" w:ascii="仿宋" w:hAnsi="仿宋" w:eastAsia="仿宋" w:cs="Times New Roman"/>
                <w:color w:val="auto"/>
                <w:sz w:val="24"/>
                <w:szCs w:val="24"/>
                <w:highlight w:val="none"/>
              </w:rPr>
            </w:pPr>
          </w:p>
        </w:tc>
        <w:tc>
          <w:tcPr>
            <w:tcW w:w="1413" w:type="pct"/>
            <w:vAlign w:val="center"/>
          </w:tcPr>
          <w:p>
            <w:pPr>
              <w:spacing w:line="360" w:lineRule="auto"/>
              <w:jc w:val="left"/>
              <w:rPr>
                <w:rFonts w:hint="eastAsia" w:ascii="仿宋" w:hAnsi="仿宋" w:eastAsia="仿宋" w:cs="Times New Roman"/>
                <w:color w:val="auto"/>
                <w:sz w:val="24"/>
                <w:szCs w:val="24"/>
                <w:highlight w:val="none"/>
              </w:rPr>
            </w:pPr>
          </w:p>
        </w:tc>
        <w:tc>
          <w:tcPr>
            <w:tcW w:w="778" w:type="pct"/>
          </w:tcPr>
          <w:p>
            <w:pPr>
              <w:spacing w:line="360" w:lineRule="auto"/>
              <w:jc w:val="left"/>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pPr>
              <w:spacing w:line="360" w:lineRule="auto"/>
              <w:jc w:val="left"/>
              <w:rPr>
                <w:rFonts w:hint="eastAsia" w:ascii="仿宋" w:hAnsi="仿宋" w:eastAsia="仿宋" w:cs="Times New Roman"/>
                <w:color w:val="auto"/>
                <w:sz w:val="24"/>
                <w:szCs w:val="24"/>
                <w:highlight w:val="none"/>
              </w:rPr>
            </w:pPr>
          </w:p>
        </w:tc>
        <w:tc>
          <w:tcPr>
            <w:tcW w:w="1095" w:type="pct"/>
            <w:vAlign w:val="center"/>
          </w:tcPr>
          <w:p>
            <w:pPr>
              <w:spacing w:line="360" w:lineRule="auto"/>
              <w:jc w:val="left"/>
              <w:rPr>
                <w:rFonts w:hint="eastAsia" w:ascii="仿宋" w:hAnsi="仿宋" w:eastAsia="仿宋" w:cs="Times New Roman"/>
                <w:color w:val="auto"/>
                <w:sz w:val="24"/>
                <w:szCs w:val="24"/>
                <w:highlight w:val="none"/>
              </w:rPr>
            </w:pPr>
          </w:p>
        </w:tc>
        <w:tc>
          <w:tcPr>
            <w:tcW w:w="1413" w:type="pct"/>
            <w:vAlign w:val="center"/>
          </w:tcPr>
          <w:p>
            <w:pPr>
              <w:spacing w:line="360" w:lineRule="auto"/>
              <w:jc w:val="left"/>
              <w:rPr>
                <w:rFonts w:hint="eastAsia" w:ascii="仿宋" w:hAnsi="仿宋" w:eastAsia="仿宋" w:cs="Times New Roman"/>
                <w:color w:val="auto"/>
                <w:sz w:val="24"/>
                <w:szCs w:val="24"/>
                <w:highlight w:val="none"/>
              </w:rPr>
            </w:pPr>
          </w:p>
        </w:tc>
        <w:tc>
          <w:tcPr>
            <w:tcW w:w="778" w:type="pct"/>
          </w:tcPr>
          <w:p>
            <w:pPr>
              <w:spacing w:line="360" w:lineRule="auto"/>
              <w:jc w:val="left"/>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pPr>
              <w:spacing w:line="360" w:lineRule="auto"/>
              <w:jc w:val="left"/>
              <w:rPr>
                <w:rFonts w:hint="eastAsia" w:ascii="仿宋" w:hAnsi="仿宋" w:eastAsia="仿宋" w:cs="Times New Roman"/>
                <w:color w:val="auto"/>
                <w:sz w:val="24"/>
                <w:szCs w:val="24"/>
                <w:highlight w:val="none"/>
              </w:rPr>
            </w:pPr>
          </w:p>
        </w:tc>
        <w:tc>
          <w:tcPr>
            <w:tcW w:w="1095" w:type="pct"/>
            <w:vAlign w:val="center"/>
          </w:tcPr>
          <w:p>
            <w:pPr>
              <w:spacing w:line="360" w:lineRule="auto"/>
              <w:jc w:val="left"/>
              <w:rPr>
                <w:rFonts w:hint="eastAsia" w:ascii="仿宋" w:hAnsi="仿宋" w:eastAsia="仿宋" w:cs="Times New Roman"/>
                <w:color w:val="auto"/>
                <w:sz w:val="24"/>
                <w:szCs w:val="24"/>
                <w:highlight w:val="none"/>
              </w:rPr>
            </w:pPr>
          </w:p>
        </w:tc>
        <w:tc>
          <w:tcPr>
            <w:tcW w:w="1413" w:type="pct"/>
            <w:vAlign w:val="center"/>
          </w:tcPr>
          <w:p>
            <w:pPr>
              <w:spacing w:line="360" w:lineRule="auto"/>
              <w:jc w:val="left"/>
              <w:rPr>
                <w:rFonts w:hint="eastAsia" w:ascii="仿宋" w:hAnsi="仿宋" w:eastAsia="仿宋" w:cs="Times New Roman"/>
                <w:color w:val="auto"/>
                <w:sz w:val="24"/>
                <w:szCs w:val="24"/>
                <w:highlight w:val="none"/>
              </w:rPr>
            </w:pPr>
          </w:p>
        </w:tc>
        <w:tc>
          <w:tcPr>
            <w:tcW w:w="778" w:type="pct"/>
          </w:tcPr>
          <w:p>
            <w:pPr>
              <w:spacing w:line="360" w:lineRule="auto"/>
              <w:jc w:val="left"/>
              <w:rPr>
                <w:rFonts w:hint="eastAsia" w:ascii="仿宋" w:hAnsi="仿宋" w:eastAsia="仿宋" w:cs="Times New Roman"/>
                <w:color w:val="auto"/>
                <w:sz w:val="24"/>
                <w:szCs w:val="24"/>
                <w:highlight w:val="none"/>
              </w:rPr>
            </w:pPr>
          </w:p>
        </w:tc>
      </w:tr>
    </w:tbl>
    <w:p>
      <w:pPr>
        <w:snapToGrid w:val="0"/>
        <w:spacing w:line="360" w:lineRule="auto"/>
        <w:contextualSpacing/>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1.供应商提交的响应文件中与比选文件第三部分“项目需求”中的商务部分的要求，应逐条填列在偏离表中。</w:t>
      </w:r>
    </w:p>
    <w:p>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 “偏离说明”一栏选择“正偏离”、“无偏离”、“负偏离”进行填写。正偏离、无偏离的确认和负偏离的是否响应招标文件，由评委认定。</w:t>
      </w:r>
    </w:p>
    <w:p>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3.供应商如果虚假响应，将被暂停参加采购人组织的采购活动。</w:t>
      </w:r>
    </w:p>
    <w:p>
      <w:pPr>
        <w:snapToGrid w:val="0"/>
        <w:spacing w:line="360" w:lineRule="auto"/>
        <w:ind w:firstLine="480" w:firstLineChars="200"/>
        <w:contextualSpacing/>
        <w:rPr>
          <w:rFonts w:hint="eastAsia"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pPr>
        <w:snapToGrid w:val="0"/>
        <w:spacing w:line="360" w:lineRule="auto"/>
        <w:contextualSpacing/>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pPr>
        <w:spacing w:line="360" w:lineRule="auto"/>
        <w:ind w:firstLine="480" w:firstLineChars="200"/>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比选文件要求的技术要求</w:t>
            </w:r>
          </w:p>
        </w:tc>
        <w:tc>
          <w:tcPr>
            <w:tcW w:w="1413" w:type="pct"/>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pPr>
              <w:spacing w:line="360" w:lineRule="auto"/>
              <w:jc w:val="center"/>
              <w:rPr>
                <w:rFonts w:hint="eastAsia" w:ascii="仿宋" w:hAnsi="仿宋" w:eastAsia="仿宋" w:cs="Times New Roman"/>
                <w:color w:val="auto"/>
                <w:sz w:val="24"/>
                <w:szCs w:val="24"/>
                <w:highlight w:val="none"/>
              </w:rPr>
            </w:pPr>
          </w:p>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pPr>
              <w:spacing w:line="360" w:lineRule="auto"/>
              <w:jc w:val="left"/>
              <w:rPr>
                <w:rFonts w:hint="eastAsia" w:ascii="仿宋" w:hAnsi="仿宋" w:eastAsia="仿宋" w:cs="Times New Roman"/>
                <w:color w:val="auto"/>
                <w:sz w:val="24"/>
                <w:szCs w:val="24"/>
                <w:highlight w:val="none"/>
              </w:rPr>
            </w:pPr>
          </w:p>
        </w:tc>
        <w:tc>
          <w:tcPr>
            <w:tcW w:w="1095" w:type="pct"/>
            <w:vAlign w:val="center"/>
          </w:tcPr>
          <w:p>
            <w:pPr>
              <w:spacing w:line="360" w:lineRule="auto"/>
              <w:jc w:val="left"/>
              <w:rPr>
                <w:rFonts w:hint="eastAsia" w:ascii="仿宋" w:hAnsi="仿宋" w:eastAsia="仿宋" w:cs="Times New Roman"/>
                <w:color w:val="auto"/>
                <w:sz w:val="24"/>
                <w:szCs w:val="24"/>
                <w:highlight w:val="none"/>
              </w:rPr>
            </w:pPr>
          </w:p>
        </w:tc>
        <w:tc>
          <w:tcPr>
            <w:tcW w:w="1413" w:type="pct"/>
            <w:vAlign w:val="center"/>
          </w:tcPr>
          <w:p>
            <w:pPr>
              <w:spacing w:line="360" w:lineRule="auto"/>
              <w:jc w:val="left"/>
              <w:rPr>
                <w:rFonts w:hint="eastAsia" w:ascii="仿宋" w:hAnsi="仿宋" w:eastAsia="仿宋" w:cs="Times New Roman"/>
                <w:color w:val="auto"/>
                <w:sz w:val="24"/>
                <w:szCs w:val="24"/>
                <w:highlight w:val="none"/>
              </w:rPr>
            </w:pPr>
          </w:p>
        </w:tc>
        <w:tc>
          <w:tcPr>
            <w:tcW w:w="778" w:type="pct"/>
          </w:tcPr>
          <w:p>
            <w:pPr>
              <w:spacing w:line="360" w:lineRule="auto"/>
              <w:jc w:val="left"/>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pPr>
              <w:spacing w:line="360" w:lineRule="auto"/>
              <w:jc w:val="left"/>
              <w:rPr>
                <w:rFonts w:hint="eastAsia" w:ascii="仿宋" w:hAnsi="仿宋" w:eastAsia="仿宋" w:cs="Times New Roman"/>
                <w:color w:val="auto"/>
                <w:sz w:val="24"/>
                <w:szCs w:val="24"/>
                <w:highlight w:val="none"/>
              </w:rPr>
            </w:pPr>
          </w:p>
        </w:tc>
        <w:tc>
          <w:tcPr>
            <w:tcW w:w="1095" w:type="pct"/>
            <w:vAlign w:val="center"/>
          </w:tcPr>
          <w:p>
            <w:pPr>
              <w:spacing w:line="360" w:lineRule="auto"/>
              <w:jc w:val="left"/>
              <w:rPr>
                <w:rFonts w:hint="eastAsia" w:ascii="仿宋" w:hAnsi="仿宋" w:eastAsia="仿宋" w:cs="Times New Roman"/>
                <w:color w:val="auto"/>
                <w:sz w:val="24"/>
                <w:szCs w:val="24"/>
                <w:highlight w:val="none"/>
              </w:rPr>
            </w:pPr>
          </w:p>
        </w:tc>
        <w:tc>
          <w:tcPr>
            <w:tcW w:w="1413" w:type="pct"/>
            <w:vAlign w:val="center"/>
          </w:tcPr>
          <w:p>
            <w:pPr>
              <w:spacing w:line="360" w:lineRule="auto"/>
              <w:jc w:val="left"/>
              <w:rPr>
                <w:rFonts w:hint="eastAsia" w:ascii="仿宋" w:hAnsi="仿宋" w:eastAsia="仿宋" w:cs="Times New Roman"/>
                <w:color w:val="auto"/>
                <w:sz w:val="24"/>
                <w:szCs w:val="24"/>
                <w:highlight w:val="none"/>
              </w:rPr>
            </w:pPr>
          </w:p>
        </w:tc>
        <w:tc>
          <w:tcPr>
            <w:tcW w:w="778" w:type="pct"/>
          </w:tcPr>
          <w:p>
            <w:pPr>
              <w:spacing w:line="360" w:lineRule="auto"/>
              <w:jc w:val="left"/>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pPr>
              <w:spacing w:line="360" w:lineRule="auto"/>
              <w:jc w:val="left"/>
              <w:rPr>
                <w:rFonts w:hint="eastAsia" w:ascii="仿宋" w:hAnsi="仿宋" w:eastAsia="仿宋" w:cs="Times New Roman"/>
                <w:color w:val="auto"/>
                <w:sz w:val="24"/>
                <w:szCs w:val="24"/>
                <w:highlight w:val="none"/>
              </w:rPr>
            </w:pPr>
          </w:p>
        </w:tc>
        <w:tc>
          <w:tcPr>
            <w:tcW w:w="1095" w:type="pct"/>
            <w:vAlign w:val="center"/>
          </w:tcPr>
          <w:p>
            <w:pPr>
              <w:spacing w:line="360" w:lineRule="auto"/>
              <w:jc w:val="left"/>
              <w:rPr>
                <w:rFonts w:hint="eastAsia" w:ascii="仿宋" w:hAnsi="仿宋" w:eastAsia="仿宋" w:cs="Times New Roman"/>
                <w:color w:val="auto"/>
                <w:sz w:val="24"/>
                <w:szCs w:val="24"/>
                <w:highlight w:val="none"/>
              </w:rPr>
            </w:pPr>
          </w:p>
        </w:tc>
        <w:tc>
          <w:tcPr>
            <w:tcW w:w="1413" w:type="pct"/>
            <w:vAlign w:val="center"/>
          </w:tcPr>
          <w:p>
            <w:pPr>
              <w:spacing w:line="360" w:lineRule="auto"/>
              <w:jc w:val="left"/>
              <w:rPr>
                <w:rFonts w:hint="eastAsia" w:ascii="仿宋" w:hAnsi="仿宋" w:eastAsia="仿宋" w:cs="Times New Roman"/>
                <w:color w:val="auto"/>
                <w:sz w:val="24"/>
                <w:szCs w:val="24"/>
                <w:highlight w:val="none"/>
              </w:rPr>
            </w:pPr>
          </w:p>
        </w:tc>
        <w:tc>
          <w:tcPr>
            <w:tcW w:w="778" w:type="pct"/>
          </w:tcPr>
          <w:p>
            <w:pPr>
              <w:spacing w:line="360" w:lineRule="auto"/>
              <w:jc w:val="left"/>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pPr>
              <w:spacing w:line="360" w:lineRule="auto"/>
              <w:jc w:val="left"/>
              <w:rPr>
                <w:rFonts w:hint="eastAsia" w:ascii="仿宋" w:hAnsi="仿宋" w:eastAsia="仿宋" w:cs="Times New Roman"/>
                <w:color w:val="auto"/>
                <w:sz w:val="24"/>
                <w:szCs w:val="24"/>
                <w:highlight w:val="none"/>
              </w:rPr>
            </w:pPr>
          </w:p>
        </w:tc>
        <w:tc>
          <w:tcPr>
            <w:tcW w:w="1095" w:type="pct"/>
            <w:vAlign w:val="center"/>
          </w:tcPr>
          <w:p>
            <w:pPr>
              <w:spacing w:line="360" w:lineRule="auto"/>
              <w:jc w:val="left"/>
              <w:rPr>
                <w:rFonts w:hint="eastAsia" w:ascii="仿宋" w:hAnsi="仿宋" w:eastAsia="仿宋" w:cs="Times New Roman"/>
                <w:color w:val="auto"/>
                <w:sz w:val="24"/>
                <w:szCs w:val="24"/>
                <w:highlight w:val="none"/>
              </w:rPr>
            </w:pPr>
          </w:p>
        </w:tc>
        <w:tc>
          <w:tcPr>
            <w:tcW w:w="1413" w:type="pct"/>
            <w:vAlign w:val="center"/>
          </w:tcPr>
          <w:p>
            <w:pPr>
              <w:spacing w:line="360" w:lineRule="auto"/>
              <w:jc w:val="left"/>
              <w:rPr>
                <w:rFonts w:hint="eastAsia" w:ascii="仿宋" w:hAnsi="仿宋" w:eastAsia="仿宋" w:cs="Times New Roman"/>
                <w:color w:val="auto"/>
                <w:sz w:val="24"/>
                <w:szCs w:val="24"/>
                <w:highlight w:val="none"/>
              </w:rPr>
            </w:pPr>
          </w:p>
        </w:tc>
        <w:tc>
          <w:tcPr>
            <w:tcW w:w="778" w:type="pct"/>
          </w:tcPr>
          <w:p>
            <w:pPr>
              <w:spacing w:line="360" w:lineRule="auto"/>
              <w:jc w:val="left"/>
              <w:rPr>
                <w:rFonts w:hint="eastAsia" w:ascii="仿宋" w:hAnsi="仿宋" w:eastAsia="仿宋" w:cs="Times New Roman"/>
                <w:color w:val="auto"/>
                <w:sz w:val="24"/>
                <w:szCs w:val="24"/>
                <w:highlight w:val="none"/>
              </w:rPr>
            </w:pPr>
          </w:p>
        </w:tc>
      </w:tr>
    </w:tbl>
    <w:p>
      <w:pPr>
        <w:snapToGrid w:val="0"/>
        <w:spacing w:line="360" w:lineRule="auto"/>
        <w:contextualSpacing/>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1.供应商提交的响应文件中与比选文件第三部分“项目需求”中的技术部分的要求，应逐条填列在偏离表中。</w:t>
      </w:r>
    </w:p>
    <w:p>
      <w:pPr>
        <w:snapToGrid w:val="0"/>
        <w:spacing w:line="360" w:lineRule="auto"/>
        <w:ind w:firstLine="480" w:firstLineChars="200"/>
        <w:contextualSpacing/>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 “偏离说明”一栏选择“正偏离”、“无偏离”、“负偏离”进行填写。正偏离、无偏离的确认和负偏离的是否响应招标文件，由评委认定。</w:t>
      </w:r>
    </w:p>
    <w:p>
      <w:pPr>
        <w:snapToGrid w:val="0"/>
        <w:spacing w:line="360" w:lineRule="auto"/>
        <w:ind w:firstLine="480" w:firstLineChars="200"/>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3.供应商如果虚假响应，将上报相关部门。</w:t>
      </w:r>
    </w:p>
    <w:p>
      <w:pPr>
        <w:snapToGrid w:val="0"/>
        <w:spacing w:line="360" w:lineRule="auto"/>
        <w:ind w:firstLine="480" w:firstLineChars="200"/>
        <w:contextualSpacing/>
        <w:rPr>
          <w:rFonts w:hint="eastAsia"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pPr>
        <w:snapToGrid w:val="0"/>
        <w:spacing w:line="360" w:lineRule="auto"/>
        <w:contextualSpacing/>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pPr>
        <w:widowControl/>
        <w:spacing w:line="360" w:lineRule="auto"/>
        <w:jc w:val="center"/>
        <w:rPr>
          <w:rFonts w:hint="eastAsia" w:ascii="仿宋" w:hAnsi="仿宋" w:eastAsia="仿宋" w:cs="宋体"/>
          <w:color w:val="auto"/>
          <w:kern w:val="0"/>
          <w:sz w:val="24"/>
          <w:szCs w:val="24"/>
          <w:highlight w:val="none"/>
          <w:lang w:eastAsia="zh-CN"/>
        </w:rPr>
      </w:pPr>
      <w:r>
        <w:rPr>
          <w:rFonts w:hint="eastAsia" w:ascii="仿宋" w:hAnsi="仿宋" w:eastAsia="仿宋" w:cs="宋体"/>
          <w:b/>
          <w:bCs/>
          <w:color w:val="auto"/>
          <w:kern w:val="0"/>
          <w:sz w:val="24"/>
          <w:szCs w:val="24"/>
          <w:highlight w:val="none"/>
        </w:rPr>
        <w:t>报价总表</w:t>
      </w:r>
    </w:p>
    <w:p>
      <w:pPr>
        <w:spacing w:line="360" w:lineRule="auto"/>
        <w:rPr>
          <w:rFonts w:hint="eastAsia"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pPr>
        <w:spacing w:line="360" w:lineRule="auto"/>
        <w:rPr>
          <w:rFonts w:hint="eastAsia"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6"/>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3104"/>
        <w:gridCol w:w="3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rPr>
              <w:t>比选</w:t>
            </w:r>
            <w:r>
              <w:rPr>
                <w:rFonts w:ascii="仿宋" w:hAnsi="仿宋" w:eastAsia="仿宋" w:cs="宋体"/>
                <w:color w:val="auto"/>
                <w:kern w:val="0"/>
                <w:sz w:val="24"/>
                <w:szCs w:val="24"/>
                <w:highlight w:val="none"/>
              </w:rPr>
              <w:t>货物、服务名称</w:t>
            </w:r>
          </w:p>
        </w:tc>
        <w:tc>
          <w:tcPr>
            <w:tcW w:w="3104" w:type="dxa"/>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rPr>
              <w:t>比选</w:t>
            </w:r>
            <w:r>
              <w:rPr>
                <w:rFonts w:ascii="仿宋" w:hAnsi="仿宋" w:eastAsia="仿宋" w:cs="宋体"/>
                <w:color w:val="auto"/>
                <w:kern w:val="0"/>
                <w:sz w:val="24"/>
                <w:szCs w:val="24"/>
                <w:highlight w:val="none"/>
              </w:rPr>
              <w:t>报价</w:t>
            </w:r>
          </w:p>
        </w:tc>
        <w:tc>
          <w:tcPr>
            <w:tcW w:w="3104" w:type="dxa"/>
          </w:tcPr>
          <w:p>
            <w:pPr>
              <w:spacing w:line="360" w:lineRule="auto"/>
              <w:jc w:val="center"/>
              <w:rPr>
                <w:rFonts w:hint="eastAsia"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794" w:type="dxa"/>
            <w:vAlign w:val="center"/>
          </w:tcPr>
          <w:p>
            <w:pPr>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南通市住房公积金管理中心2025年度会计报表审计、售房资金专项审计、增值收益及分配专项审计。</w:t>
            </w:r>
          </w:p>
        </w:tc>
        <w:tc>
          <w:tcPr>
            <w:tcW w:w="3104" w:type="dxa"/>
            <w:vAlign w:val="center"/>
          </w:tcPr>
          <w:p>
            <w:pPr>
              <w:spacing w:line="360" w:lineRule="auto"/>
              <w:jc w:val="left"/>
              <w:rPr>
                <w:rFonts w:hint="eastAsia"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大写：</w:t>
            </w:r>
            <w:r>
              <w:rPr>
                <w:rFonts w:ascii="仿宋" w:hAnsi="仿宋" w:eastAsia="仿宋" w:cs="宋体"/>
                <w:color w:val="auto"/>
                <w:kern w:val="0"/>
                <w:sz w:val="24"/>
                <w:szCs w:val="24"/>
                <w:highlight w:val="none"/>
              </w:rPr>
              <w:br w:type="textWrapping"/>
            </w:r>
            <w:r>
              <w:rPr>
                <w:rFonts w:ascii="仿宋" w:hAnsi="仿宋" w:eastAsia="仿宋" w:cs="宋体"/>
                <w:color w:val="auto"/>
                <w:kern w:val="0"/>
                <w:sz w:val="24"/>
                <w:szCs w:val="24"/>
                <w:highlight w:val="none"/>
              </w:rPr>
              <w:t>小写：元（人民币）</w:t>
            </w:r>
          </w:p>
        </w:tc>
        <w:tc>
          <w:tcPr>
            <w:tcW w:w="3104" w:type="dxa"/>
            <w:vAlign w:val="center"/>
          </w:tcPr>
          <w:p>
            <w:pPr>
              <w:spacing w:line="360" w:lineRule="auto"/>
              <w:jc w:val="both"/>
              <w:rPr>
                <w:rFonts w:hint="default" w:ascii="仿宋" w:hAnsi="仿宋" w:eastAsia="仿宋" w:cs="宋体"/>
                <w:color w:val="auto"/>
                <w:kern w:val="0"/>
                <w:sz w:val="24"/>
                <w:szCs w:val="24"/>
                <w:highlight w:val="none"/>
                <w:lang w:val="en-US" w:eastAsia="zh-CN"/>
              </w:rPr>
            </w:pPr>
            <w:r>
              <w:rPr>
                <w:rFonts w:hint="eastAsia" w:ascii="仿宋" w:hAnsi="仿宋" w:eastAsia="仿宋" w:cs="宋体"/>
                <w:color w:val="auto"/>
                <w:kern w:val="0"/>
                <w:sz w:val="24"/>
                <w:szCs w:val="24"/>
                <w:highlight w:val="none"/>
                <w:lang w:val="en-US" w:eastAsia="zh-CN"/>
              </w:rPr>
              <w:t>本项最高限价7万元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794" w:type="dxa"/>
            <w:vAlign w:val="center"/>
          </w:tcPr>
          <w:p>
            <w:pPr>
              <w:spacing w:line="360" w:lineRule="auto"/>
              <w:jc w:val="center"/>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合计</w:t>
            </w:r>
          </w:p>
        </w:tc>
        <w:tc>
          <w:tcPr>
            <w:tcW w:w="3104" w:type="dxa"/>
          </w:tcPr>
          <w:p>
            <w:pPr>
              <w:spacing w:line="360" w:lineRule="auto"/>
              <w:jc w:val="left"/>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r>
              <w:rPr>
                <w:rFonts w:ascii="仿宋" w:hAnsi="仿宋" w:eastAsia="仿宋" w:cs="宋体"/>
                <w:color w:val="auto"/>
                <w:kern w:val="0"/>
                <w:sz w:val="24"/>
                <w:szCs w:val="24"/>
                <w:highlight w:val="none"/>
              </w:rPr>
              <w:br w:type="textWrapping"/>
            </w:r>
            <w:r>
              <w:rPr>
                <w:rFonts w:ascii="仿宋" w:hAnsi="仿宋" w:eastAsia="仿宋" w:cs="宋体"/>
                <w:color w:val="auto"/>
                <w:kern w:val="0"/>
                <w:sz w:val="24"/>
                <w:szCs w:val="24"/>
                <w:highlight w:val="none"/>
              </w:rPr>
              <w:t>小写：元（人民币）</w:t>
            </w:r>
          </w:p>
        </w:tc>
        <w:tc>
          <w:tcPr>
            <w:tcW w:w="3104" w:type="dxa"/>
          </w:tcPr>
          <w:p>
            <w:pPr>
              <w:spacing w:line="360" w:lineRule="auto"/>
              <w:jc w:val="left"/>
              <w:rPr>
                <w:rFonts w:ascii="仿宋" w:hAnsi="仿宋" w:eastAsia="仿宋"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spacing w:line="360" w:lineRule="auto"/>
              <w:rPr>
                <w:rFonts w:hint="eastAsia"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主要货物、服务制造商及产地</w:t>
            </w:r>
          </w:p>
        </w:tc>
        <w:tc>
          <w:tcPr>
            <w:tcW w:w="3104" w:type="dxa"/>
          </w:tcPr>
          <w:p>
            <w:pPr>
              <w:spacing w:line="360" w:lineRule="auto"/>
              <w:rPr>
                <w:rFonts w:hint="eastAsia" w:ascii="仿宋" w:hAnsi="仿宋" w:eastAsia="仿宋" w:cs="Times New Roman"/>
                <w:color w:val="auto"/>
                <w:sz w:val="24"/>
                <w:szCs w:val="24"/>
                <w:highlight w:val="none"/>
              </w:rPr>
            </w:pPr>
          </w:p>
        </w:tc>
        <w:tc>
          <w:tcPr>
            <w:tcW w:w="3104" w:type="dxa"/>
          </w:tcPr>
          <w:p>
            <w:pPr>
              <w:spacing w:line="360" w:lineRule="auto"/>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794" w:type="dxa"/>
          </w:tcPr>
          <w:p>
            <w:pPr>
              <w:spacing w:line="360" w:lineRule="auto"/>
              <w:rPr>
                <w:rFonts w:hint="eastAsia" w:ascii="仿宋" w:hAnsi="仿宋" w:eastAsia="仿宋" w:cs="Times New Roman"/>
                <w:color w:val="auto"/>
                <w:sz w:val="24"/>
                <w:szCs w:val="24"/>
                <w:highlight w:val="none"/>
              </w:rPr>
            </w:pPr>
          </w:p>
        </w:tc>
        <w:tc>
          <w:tcPr>
            <w:tcW w:w="3104" w:type="dxa"/>
          </w:tcPr>
          <w:p>
            <w:pPr>
              <w:spacing w:line="360" w:lineRule="auto"/>
              <w:rPr>
                <w:rFonts w:hint="eastAsia" w:ascii="仿宋" w:hAnsi="仿宋" w:eastAsia="仿宋" w:cs="Times New Roman"/>
                <w:color w:val="auto"/>
                <w:sz w:val="24"/>
                <w:szCs w:val="24"/>
                <w:highlight w:val="none"/>
              </w:rPr>
            </w:pPr>
          </w:p>
        </w:tc>
        <w:tc>
          <w:tcPr>
            <w:tcW w:w="3104" w:type="dxa"/>
          </w:tcPr>
          <w:p>
            <w:pPr>
              <w:spacing w:line="360" w:lineRule="auto"/>
              <w:rPr>
                <w:rFonts w:hint="eastAsia" w:ascii="仿宋" w:hAnsi="仿宋" w:eastAsia="仿宋" w:cs="Times New Roman"/>
                <w:color w:val="auto"/>
                <w:sz w:val="24"/>
                <w:szCs w:val="24"/>
                <w:highlight w:val="none"/>
              </w:rPr>
            </w:pPr>
          </w:p>
        </w:tc>
      </w:tr>
    </w:tbl>
    <w:p>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pPr>
        <w:spacing w:line="36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pPr>
        <w:spacing w:line="36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pPr>
        <w:widowControl/>
        <w:spacing w:line="360" w:lineRule="auto"/>
        <w:jc w:val="left"/>
        <w:rPr>
          <w:rFonts w:hint="eastAsia"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pPr>
        <w:spacing w:line="360" w:lineRule="auto"/>
        <w:jc w:val="center"/>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pPr>
        <w:spacing w:line="360" w:lineRule="auto"/>
        <w:jc w:val="center"/>
        <w:rPr>
          <w:rFonts w:hint="eastAsia"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分项报价明细表（服务类）</w:t>
      </w:r>
    </w:p>
    <w:p>
      <w:pPr>
        <w:snapToGrid w:val="0"/>
        <w:spacing w:line="360" w:lineRule="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6"/>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21" w:type="dxa"/>
            <w:vAlign w:val="center"/>
          </w:tcPr>
          <w:p>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417" w:type="dxa"/>
            <w:vAlign w:val="center"/>
          </w:tcPr>
          <w:p>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服务范围</w:t>
            </w:r>
          </w:p>
        </w:tc>
        <w:tc>
          <w:tcPr>
            <w:tcW w:w="1418" w:type="dxa"/>
            <w:vAlign w:val="center"/>
          </w:tcPr>
          <w:p>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服务要求</w:t>
            </w:r>
          </w:p>
        </w:tc>
        <w:tc>
          <w:tcPr>
            <w:tcW w:w="1275" w:type="dxa"/>
            <w:vAlign w:val="center"/>
          </w:tcPr>
          <w:p>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服务时间</w:t>
            </w:r>
          </w:p>
        </w:tc>
        <w:tc>
          <w:tcPr>
            <w:tcW w:w="1276" w:type="dxa"/>
            <w:vAlign w:val="center"/>
          </w:tcPr>
          <w:p>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服务标准</w:t>
            </w:r>
          </w:p>
        </w:tc>
        <w:tc>
          <w:tcPr>
            <w:tcW w:w="851" w:type="dxa"/>
            <w:vAlign w:val="center"/>
          </w:tcPr>
          <w:p>
            <w:pPr>
              <w:snapToGrid w:val="0"/>
              <w:spacing w:line="360" w:lineRule="auto"/>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151" w:type="dxa"/>
            <w:vAlign w:val="center"/>
          </w:tcPr>
          <w:p>
            <w:pPr>
              <w:snapToGrid w:val="0"/>
              <w:spacing w:line="360" w:lineRule="auto"/>
              <w:ind w:firstLine="120" w:firstLineChars="50"/>
              <w:jc w:val="center"/>
              <w:rPr>
                <w:rFonts w:hint="eastAsia"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2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pPr>
              <w:snapToGrid w:val="0"/>
              <w:spacing w:line="360" w:lineRule="auto"/>
              <w:jc w:val="center"/>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2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pPr>
              <w:snapToGrid w:val="0"/>
              <w:spacing w:line="360" w:lineRule="auto"/>
              <w:jc w:val="center"/>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2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pPr>
              <w:snapToGrid w:val="0"/>
              <w:spacing w:line="360" w:lineRule="auto"/>
              <w:jc w:val="center"/>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2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pPr>
              <w:snapToGrid w:val="0"/>
              <w:spacing w:line="360" w:lineRule="auto"/>
              <w:jc w:val="center"/>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32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7"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418"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5"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276"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851" w:type="dxa"/>
            <w:vAlign w:val="center"/>
          </w:tcPr>
          <w:p>
            <w:pPr>
              <w:snapToGrid w:val="0"/>
              <w:spacing w:line="360" w:lineRule="auto"/>
              <w:jc w:val="center"/>
              <w:rPr>
                <w:rFonts w:hint="eastAsia" w:ascii="仿宋" w:hAnsi="仿宋" w:eastAsia="仿宋" w:cs="Times New Roman"/>
                <w:color w:val="auto"/>
                <w:sz w:val="24"/>
                <w:szCs w:val="24"/>
                <w:highlight w:val="none"/>
              </w:rPr>
            </w:pPr>
          </w:p>
        </w:tc>
        <w:tc>
          <w:tcPr>
            <w:tcW w:w="1151" w:type="dxa"/>
            <w:vAlign w:val="center"/>
          </w:tcPr>
          <w:p>
            <w:pPr>
              <w:snapToGrid w:val="0"/>
              <w:spacing w:line="360" w:lineRule="auto"/>
              <w:jc w:val="center"/>
              <w:rPr>
                <w:rFonts w:hint="eastAsia" w:ascii="仿宋" w:hAnsi="仿宋" w:eastAsia="仿宋"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pPr>
              <w:snapToGrid w:val="0"/>
              <w:spacing w:line="360" w:lineRule="auto"/>
              <w:jc w:val="center"/>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09" w:type="dxa"/>
            <w:gridSpan w:val="7"/>
            <w:vAlign w:val="center"/>
          </w:tcPr>
          <w:p>
            <w:pPr>
              <w:snapToGrid w:val="0"/>
              <w:spacing w:line="360" w:lineRule="auto"/>
              <w:jc w:val="center"/>
              <w:rPr>
                <w:rFonts w:hint="eastAsia" w:ascii="仿宋" w:hAnsi="仿宋" w:eastAsia="仿宋" w:cs="Times New Roman"/>
                <w:color w:val="auto"/>
                <w:sz w:val="24"/>
                <w:szCs w:val="24"/>
                <w:highlight w:val="none"/>
              </w:rPr>
            </w:pPr>
          </w:p>
        </w:tc>
      </w:tr>
    </w:tbl>
    <w:p>
      <w:pPr>
        <w:spacing w:line="360" w:lineRule="auto"/>
        <w:rPr>
          <w:rFonts w:hint="eastAsia"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pPr>
        <w:widowControl/>
        <w:spacing w:line="360" w:lineRule="auto"/>
        <w:jc w:val="left"/>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pPr>
        <w:spacing w:line="360" w:lineRule="auto"/>
        <w:rPr>
          <w:rFonts w:hint="eastAsia"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附件9</w:t>
      </w:r>
    </w:p>
    <w:p>
      <w:pPr>
        <w:widowControl/>
        <w:spacing w:line="360" w:lineRule="auto"/>
        <w:jc w:val="left"/>
        <w:rPr>
          <w:rFonts w:hint="eastAsia" w:ascii="仿宋" w:hAnsi="仿宋" w:eastAsia="仿宋" w:cs="Times New Roman"/>
          <w:color w:val="auto"/>
          <w:sz w:val="24"/>
          <w:szCs w:val="24"/>
          <w:highlight w:val="none"/>
          <w:lang w:bidi="zh-CN"/>
        </w:rPr>
      </w:pPr>
    </w:p>
    <w:p>
      <w:pPr>
        <w:spacing w:line="360" w:lineRule="auto"/>
        <w:jc w:val="center"/>
        <w:rPr>
          <w:rFonts w:hint="eastAsia" w:ascii="仿宋" w:hAnsi="仿宋" w:eastAsia="仿宋" w:cs="宋体"/>
          <w:b/>
          <w:color w:val="auto"/>
          <w:sz w:val="24"/>
          <w:szCs w:val="24"/>
          <w:highlight w:val="none"/>
          <w:lang w:bidi="ar"/>
        </w:rPr>
      </w:pPr>
      <w:bookmarkStart w:id="200" w:name="_Hlk130369611"/>
      <w:r>
        <w:rPr>
          <w:rFonts w:hint="eastAsia" w:ascii="仿宋" w:hAnsi="仿宋" w:eastAsia="仿宋" w:cs="宋体"/>
          <w:b/>
          <w:color w:val="auto"/>
          <w:sz w:val="24"/>
          <w:szCs w:val="24"/>
          <w:highlight w:val="none"/>
          <w:lang w:bidi="ar"/>
        </w:rPr>
        <w:t>供应商信用承诺书</w:t>
      </w:r>
    </w:p>
    <w:bookmarkEnd w:id="200"/>
    <w:p>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二、严格依照国家和省、市、县关于采购等方面的法律、法规、规章、规范性文件，参加投标活动；积极履行社会责任，促进廉政建设；</w:t>
      </w:r>
    </w:p>
    <w:p>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四、如发生违法违规或不良行为或存在其他法律法规对招标投标行为予以限制的情形，自愿接受采购有关行政监督部门依法给予的行政处罚（处理），并依法承担相应的法律责任；</w:t>
      </w:r>
    </w:p>
    <w:p>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pPr>
        <w:spacing w:line="360" w:lineRule="auto"/>
        <w:ind w:firstLine="480" w:firstLineChars="2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pPr>
        <w:spacing w:line="360" w:lineRule="auto"/>
        <w:ind w:firstLine="482" w:firstLineChars="200"/>
        <w:rPr>
          <w:rFonts w:hint="eastAsia"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pPr>
        <w:spacing w:line="360" w:lineRule="auto"/>
        <w:ind w:firstLine="2640" w:firstLineChars="1100"/>
        <w:rPr>
          <w:rFonts w:hint="eastAsia"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pPr>
        <w:spacing w:line="360" w:lineRule="auto"/>
        <w:ind w:firstLine="2640" w:firstLineChars="1100"/>
        <w:rPr>
          <w:rFonts w:hint="eastAsia"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pPr>
        <w:spacing w:line="360" w:lineRule="auto"/>
        <w:ind w:firstLine="2640" w:firstLineChars="1100"/>
        <w:rPr>
          <w:rFonts w:hint="eastAsia"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pPr>
        <w:widowControl/>
        <w:spacing w:line="360" w:lineRule="auto"/>
        <w:jc w:val="left"/>
        <w:rPr>
          <w:rFonts w:hint="eastAsia"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pPr>
        <w:spacing w:line="360" w:lineRule="auto"/>
        <w:jc w:val="left"/>
        <w:rPr>
          <w:rFonts w:hint="eastAsia" w:ascii="仿宋" w:hAnsi="仿宋" w:eastAsia="仿宋" w:cs="Times New Roman"/>
          <w:bCs/>
          <w:color w:val="auto"/>
          <w:sz w:val="24"/>
          <w:szCs w:val="24"/>
          <w:highlight w:val="none"/>
          <w:lang w:bidi="ar"/>
        </w:rPr>
      </w:pPr>
      <w:r>
        <w:rPr>
          <w:rFonts w:ascii="仿宋" w:hAnsi="仿宋" w:eastAsia="仿宋" w:cs="Times New Roman"/>
          <w:bCs/>
          <w:color w:val="auto"/>
          <w:sz w:val="24"/>
          <w:szCs w:val="24"/>
          <w:highlight w:val="none"/>
          <w:lang w:bidi="ar"/>
        </w:rPr>
        <w:t>附件1</w:t>
      </w:r>
      <w:r>
        <w:rPr>
          <w:rFonts w:hint="eastAsia" w:ascii="仿宋" w:hAnsi="仿宋" w:eastAsia="仿宋" w:cs="Times New Roman"/>
          <w:bCs/>
          <w:color w:val="auto"/>
          <w:sz w:val="24"/>
          <w:szCs w:val="24"/>
          <w:highlight w:val="none"/>
          <w:lang w:bidi="ar"/>
        </w:rPr>
        <w:t>0</w:t>
      </w: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pPr>
        <w:spacing w:line="360" w:lineRule="auto"/>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pPr>
        <w:spacing w:line="360" w:lineRule="auto"/>
        <w:rPr>
          <w:rFonts w:hint="eastAsia" w:ascii="仿宋" w:hAnsi="仿宋" w:eastAsia="仿宋" w:cs="宋体"/>
          <w:color w:val="auto"/>
          <w:kern w:val="0"/>
          <w:sz w:val="24"/>
          <w:szCs w:val="24"/>
          <w:highlight w:val="none"/>
          <w:lang w:val="zh-CN" w:bidi="ar"/>
        </w:rPr>
      </w:pPr>
    </w:p>
    <w:p>
      <w:pPr>
        <w:spacing w:line="360" w:lineRule="auto"/>
        <w:rPr>
          <w:rFonts w:hint="eastAsia"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pPr>
        <w:spacing w:line="360" w:lineRule="auto"/>
        <w:ind w:firstLine="480" w:firstLineChars="200"/>
        <w:rPr>
          <w:rFonts w:hint="eastAsia"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pPr>
        <w:widowControl/>
        <w:spacing w:line="360" w:lineRule="auto"/>
        <w:jc w:val="left"/>
        <w:rPr>
          <w:rFonts w:hint="eastAsia" w:ascii="仿宋" w:hAnsi="仿宋" w:eastAsia="仿宋"/>
          <w:color w:val="auto"/>
          <w:sz w:val="24"/>
          <w:szCs w:val="24"/>
          <w:highlight w:val="none"/>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bookmarkStart w:id="201" w:name="_GoBack"/>
      <w:bookmarkEnd w:id="201"/>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pPr>
              <w:pStyle w:val="13"/>
              <w:jc w:val="center"/>
              <w:rPr>
                <w:rFonts w:hint="eastAsia"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ODIyOTViY2JmMDFjODM1NjZhOGRlYTBmODBhYzMifQ=="/>
  </w:docVars>
  <w:rsids>
    <w:rsidRoot w:val="000E6F62"/>
    <w:rsid w:val="0000098A"/>
    <w:rsid w:val="00004E97"/>
    <w:rsid w:val="00005798"/>
    <w:rsid w:val="00010E13"/>
    <w:rsid w:val="00013918"/>
    <w:rsid w:val="00013DCD"/>
    <w:rsid w:val="00014963"/>
    <w:rsid w:val="00014E20"/>
    <w:rsid w:val="00015B78"/>
    <w:rsid w:val="00020E06"/>
    <w:rsid w:val="000218B2"/>
    <w:rsid w:val="00022DCC"/>
    <w:rsid w:val="00027DF4"/>
    <w:rsid w:val="00031B49"/>
    <w:rsid w:val="0003374E"/>
    <w:rsid w:val="00036BEA"/>
    <w:rsid w:val="00036F61"/>
    <w:rsid w:val="00040ADA"/>
    <w:rsid w:val="00047C97"/>
    <w:rsid w:val="00050DB4"/>
    <w:rsid w:val="000518D6"/>
    <w:rsid w:val="0005407A"/>
    <w:rsid w:val="00055922"/>
    <w:rsid w:val="00057092"/>
    <w:rsid w:val="00063A5B"/>
    <w:rsid w:val="00063C87"/>
    <w:rsid w:val="00075A32"/>
    <w:rsid w:val="00080100"/>
    <w:rsid w:val="00082610"/>
    <w:rsid w:val="00086D68"/>
    <w:rsid w:val="0009178F"/>
    <w:rsid w:val="00092534"/>
    <w:rsid w:val="00096B3F"/>
    <w:rsid w:val="000A05EE"/>
    <w:rsid w:val="000A3992"/>
    <w:rsid w:val="000B3511"/>
    <w:rsid w:val="000B5552"/>
    <w:rsid w:val="000B5C05"/>
    <w:rsid w:val="000C5004"/>
    <w:rsid w:val="000C5826"/>
    <w:rsid w:val="000C7ECC"/>
    <w:rsid w:val="000D209A"/>
    <w:rsid w:val="000D2FB9"/>
    <w:rsid w:val="000D395B"/>
    <w:rsid w:val="000E0DB6"/>
    <w:rsid w:val="000E0E7A"/>
    <w:rsid w:val="000E5C0D"/>
    <w:rsid w:val="000E6F62"/>
    <w:rsid w:val="000E7B1F"/>
    <w:rsid w:val="000F1CD4"/>
    <w:rsid w:val="000F4526"/>
    <w:rsid w:val="000F4D77"/>
    <w:rsid w:val="000F6D21"/>
    <w:rsid w:val="001033D4"/>
    <w:rsid w:val="00105E58"/>
    <w:rsid w:val="0011100F"/>
    <w:rsid w:val="001113EE"/>
    <w:rsid w:val="00111BCB"/>
    <w:rsid w:val="0011268C"/>
    <w:rsid w:val="0011414A"/>
    <w:rsid w:val="001230D2"/>
    <w:rsid w:val="00124729"/>
    <w:rsid w:val="00125111"/>
    <w:rsid w:val="00126B62"/>
    <w:rsid w:val="001336FE"/>
    <w:rsid w:val="001370AA"/>
    <w:rsid w:val="00142439"/>
    <w:rsid w:val="001464D8"/>
    <w:rsid w:val="00150486"/>
    <w:rsid w:val="0015162F"/>
    <w:rsid w:val="001559F8"/>
    <w:rsid w:val="00155CE2"/>
    <w:rsid w:val="00161BF1"/>
    <w:rsid w:val="001666EB"/>
    <w:rsid w:val="001668B9"/>
    <w:rsid w:val="00170854"/>
    <w:rsid w:val="001713C6"/>
    <w:rsid w:val="001722E3"/>
    <w:rsid w:val="00174A37"/>
    <w:rsid w:val="00175215"/>
    <w:rsid w:val="00175C52"/>
    <w:rsid w:val="00177D2B"/>
    <w:rsid w:val="001822BA"/>
    <w:rsid w:val="001853E7"/>
    <w:rsid w:val="00185A07"/>
    <w:rsid w:val="001860DC"/>
    <w:rsid w:val="0018625C"/>
    <w:rsid w:val="00190433"/>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6E4"/>
    <w:rsid w:val="001E610D"/>
    <w:rsid w:val="001E66C7"/>
    <w:rsid w:val="001E6ABF"/>
    <w:rsid w:val="001E7C03"/>
    <w:rsid w:val="00201184"/>
    <w:rsid w:val="00204702"/>
    <w:rsid w:val="00210990"/>
    <w:rsid w:val="00212377"/>
    <w:rsid w:val="00216E17"/>
    <w:rsid w:val="00220170"/>
    <w:rsid w:val="00221D85"/>
    <w:rsid w:val="00222FBA"/>
    <w:rsid w:val="00225C7D"/>
    <w:rsid w:val="002273FD"/>
    <w:rsid w:val="0023042F"/>
    <w:rsid w:val="00232F01"/>
    <w:rsid w:val="00233560"/>
    <w:rsid w:val="00233FE1"/>
    <w:rsid w:val="00235089"/>
    <w:rsid w:val="00237A2D"/>
    <w:rsid w:val="00240B0D"/>
    <w:rsid w:val="0024241B"/>
    <w:rsid w:val="002429D0"/>
    <w:rsid w:val="0024599D"/>
    <w:rsid w:val="00255065"/>
    <w:rsid w:val="00261194"/>
    <w:rsid w:val="002614FD"/>
    <w:rsid w:val="00261F05"/>
    <w:rsid w:val="00265524"/>
    <w:rsid w:val="00265FCF"/>
    <w:rsid w:val="002747B9"/>
    <w:rsid w:val="00275FC1"/>
    <w:rsid w:val="00277908"/>
    <w:rsid w:val="0028127F"/>
    <w:rsid w:val="002820A5"/>
    <w:rsid w:val="002820E9"/>
    <w:rsid w:val="002834A0"/>
    <w:rsid w:val="0028408A"/>
    <w:rsid w:val="00286315"/>
    <w:rsid w:val="00287355"/>
    <w:rsid w:val="00287BC2"/>
    <w:rsid w:val="00290C3E"/>
    <w:rsid w:val="00297678"/>
    <w:rsid w:val="002A0E45"/>
    <w:rsid w:val="002D014C"/>
    <w:rsid w:val="002D0159"/>
    <w:rsid w:val="002D2023"/>
    <w:rsid w:val="002D308A"/>
    <w:rsid w:val="002E0858"/>
    <w:rsid w:val="002E1561"/>
    <w:rsid w:val="002E71EE"/>
    <w:rsid w:val="002E7CB3"/>
    <w:rsid w:val="003038AA"/>
    <w:rsid w:val="00306363"/>
    <w:rsid w:val="00307902"/>
    <w:rsid w:val="00317BB1"/>
    <w:rsid w:val="00317E31"/>
    <w:rsid w:val="003202A5"/>
    <w:rsid w:val="00320D57"/>
    <w:rsid w:val="00324B9A"/>
    <w:rsid w:val="00325C54"/>
    <w:rsid w:val="00326203"/>
    <w:rsid w:val="00334536"/>
    <w:rsid w:val="00334DA9"/>
    <w:rsid w:val="00337579"/>
    <w:rsid w:val="00342634"/>
    <w:rsid w:val="00347A5A"/>
    <w:rsid w:val="0036139F"/>
    <w:rsid w:val="0036715D"/>
    <w:rsid w:val="003672DB"/>
    <w:rsid w:val="003700F4"/>
    <w:rsid w:val="00372164"/>
    <w:rsid w:val="003742FB"/>
    <w:rsid w:val="00374C1B"/>
    <w:rsid w:val="003759EC"/>
    <w:rsid w:val="00375B89"/>
    <w:rsid w:val="00377622"/>
    <w:rsid w:val="003862A9"/>
    <w:rsid w:val="00390C09"/>
    <w:rsid w:val="00392718"/>
    <w:rsid w:val="00392ADA"/>
    <w:rsid w:val="00392E5B"/>
    <w:rsid w:val="003930C1"/>
    <w:rsid w:val="003940DD"/>
    <w:rsid w:val="003A6A4F"/>
    <w:rsid w:val="003B4D50"/>
    <w:rsid w:val="003C09B6"/>
    <w:rsid w:val="003C14A3"/>
    <w:rsid w:val="003C6652"/>
    <w:rsid w:val="003C7835"/>
    <w:rsid w:val="003D594B"/>
    <w:rsid w:val="003E02A1"/>
    <w:rsid w:val="003E3426"/>
    <w:rsid w:val="003F0512"/>
    <w:rsid w:val="003F083D"/>
    <w:rsid w:val="00401F5D"/>
    <w:rsid w:val="0040225D"/>
    <w:rsid w:val="00402B1B"/>
    <w:rsid w:val="00403B80"/>
    <w:rsid w:val="00407863"/>
    <w:rsid w:val="004135A5"/>
    <w:rsid w:val="00414BAB"/>
    <w:rsid w:val="00416009"/>
    <w:rsid w:val="004164E4"/>
    <w:rsid w:val="004204C9"/>
    <w:rsid w:val="00421B7B"/>
    <w:rsid w:val="00423225"/>
    <w:rsid w:val="004341FD"/>
    <w:rsid w:val="00434385"/>
    <w:rsid w:val="004400FF"/>
    <w:rsid w:val="004437C6"/>
    <w:rsid w:val="00443B99"/>
    <w:rsid w:val="00443C71"/>
    <w:rsid w:val="00446EC3"/>
    <w:rsid w:val="004601D7"/>
    <w:rsid w:val="00467212"/>
    <w:rsid w:val="004721D5"/>
    <w:rsid w:val="004751B1"/>
    <w:rsid w:val="00476E76"/>
    <w:rsid w:val="00476F77"/>
    <w:rsid w:val="00482923"/>
    <w:rsid w:val="004829F7"/>
    <w:rsid w:val="00486452"/>
    <w:rsid w:val="00494F68"/>
    <w:rsid w:val="004A115E"/>
    <w:rsid w:val="004A1796"/>
    <w:rsid w:val="004A511A"/>
    <w:rsid w:val="004A557C"/>
    <w:rsid w:val="004B06C2"/>
    <w:rsid w:val="004B37AE"/>
    <w:rsid w:val="004B622B"/>
    <w:rsid w:val="004B7254"/>
    <w:rsid w:val="004C43F3"/>
    <w:rsid w:val="004D14F1"/>
    <w:rsid w:val="004D2635"/>
    <w:rsid w:val="004D469A"/>
    <w:rsid w:val="004D4E65"/>
    <w:rsid w:val="004D6C61"/>
    <w:rsid w:val="004E1EB9"/>
    <w:rsid w:val="004E28E0"/>
    <w:rsid w:val="004E3AB1"/>
    <w:rsid w:val="004E42DF"/>
    <w:rsid w:val="004E58DC"/>
    <w:rsid w:val="004E5B84"/>
    <w:rsid w:val="004F2EAC"/>
    <w:rsid w:val="004F4C67"/>
    <w:rsid w:val="004F7F2F"/>
    <w:rsid w:val="00501971"/>
    <w:rsid w:val="00503209"/>
    <w:rsid w:val="00503A0C"/>
    <w:rsid w:val="00505F22"/>
    <w:rsid w:val="0051164E"/>
    <w:rsid w:val="0051378A"/>
    <w:rsid w:val="005201FA"/>
    <w:rsid w:val="00524FB0"/>
    <w:rsid w:val="00527624"/>
    <w:rsid w:val="00532A6C"/>
    <w:rsid w:val="005424AE"/>
    <w:rsid w:val="005444C5"/>
    <w:rsid w:val="00544B8F"/>
    <w:rsid w:val="0054629F"/>
    <w:rsid w:val="00546F31"/>
    <w:rsid w:val="00550E1D"/>
    <w:rsid w:val="005612A7"/>
    <w:rsid w:val="005622F6"/>
    <w:rsid w:val="00564475"/>
    <w:rsid w:val="005653B6"/>
    <w:rsid w:val="00566096"/>
    <w:rsid w:val="0057011D"/>
    <w:rsid w:val="00571081"/>
    <w:rsid w:val="00572285"/>
    <w:rsid w:val="00572EBD"/>
    <w:rsid w:val="00573821"/>
    <w:rsid w:val="0057483E"/>
    <w:rsid w:val="00575544"/>
    <w:rsid w:val="00577F45"/>
    <w:rsid w:val="00586EDF"/>
    <w:rsid w:val="00587C6A"/>
    <w:rsid w:val="00591B9F"/>
    <w:rsid w:val="00591EA8"/>
    <w:rsid w:val="005930C7"/>
    <w:rsid w:val="005A1859"/>
    <w:rsid w:val="005A5307"/>
    <w:rsid w:val="005A6FA6"/>
    <w:rsid w:val="005A72EE"/>
    <w:rsid w:val="005B4E45"/>
    <w:rsid w:val="005B7637"/>
    <w:rsid w:val="005C0B6A"/>
    <w:rsid w:val="005C28A8"/>
    <w:rsid w:val="005F046F"/>
    <w:rsid w:val="005F375E"/>
    <w:rsid w:val="005F5707"/>
    <w:rsid w:val="005F78A6"/>
    <w:rsid w:val="006012FB"/>
    <w:rsid w:val="006016D7"/>
    <w:rsid w:val="0060259F"/>
    <w:rsid w:val="0060273A"/>
    <w:rsid w:val="00605498"/>
    <w:rsid w:val="00607375"/>
    <w:rsid w:val="00614E51"/>
    <w:rsid w:val="00615533"/>
    <w:rsid w:val="006165F5"/>
    <w:rsid w:val="006213BD"/>
    <w:rsid w:val="00621708"/>
    <w:rsid w:val="00622680"/>
    <w:rsid w:val="00622E05"/>
    <w:rsid w:val="006236FA"/>
    <w:rsid w:val="00626E09"/>
    <w:rsid w:val="00627DE4"/>
    <w:rsid w:val="00630181"/>
    <w:rsid w:val="00631C94"/>
    <w:rsid w:val="0063247D"/>
    <w:rsid w:val="0063267B"/>
    <w:rsid w:val="0063654D"/>
    <w:rsid w:val="00643D29"/>
    <w:rsid w:val="006448DA"/>
    <w:rsid w:val="00646012"/>
    <w:rsid w:val="006462E5"/>
    <w:rsid w:val="006571F6"/>
    <w:rsid w:val="006572DD"/>
    <w:rsid w:val="006640AB"/>
    <w:rsid w:val="0067446B"/>
    <w:rsid w:val="00687070"/>
    <w:rsid w:val="00692F88"/>
    <w:rsid w:val="006A0549"/>
    <w:rsid w:val="006A0827"/>
    <w:rsid w:val="006A0CDD"/>
    <w:rsid w:val="006A78F4"/>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06CA6"/>
    <w:rsid w:val="007110F4"/>
    <w:rsid w:val="0071219F"/>
    <w:rsid w:val="007178A7"/>
    <w:rsid w:val="00720646"/>
    <w:rsid w:val="0072345F"/>
    <w:rsid w:val="00732C6B"/>
    <w:rsid w:val="007339D9"/>
    <w:rsid w:val="007359E8"/>
    <w:rsid w:val="00737F56"/>
    <w:rsid w:val="007534E0"/>
    <w:rsid w:val="00756790"/>
    <w:rsid w:val="00764502"/>
    <w:rsid w:val="00766B5B"/>
    <w:rsid w:val="00770F07"/>
    <w:rsid w:val="007724B6"/>
    <w:rsid w:val="00773F66"/>
    <w:rsid w:val="00780216"/>
    <w:rsid w:val="007840C5"/>
    <w:rsid w:val="0078482B"/>
    <w:rsid w:val="00784D05"/>
    <w:rsid w:val="00784F04"/>
    <w:rsid w:val="0078613B"/>
    <w:rsid w:val="007867E7"/>
    <w:rsid w:val="00796C7D"/>
    <w:rsid w:val="007A2E03"/>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D5C8C"/>
    <w:rsid w:val="007E015B"/>
    <w:rsid w:val="007E4A5E"/>
    <w:rsid w:val="007E5588"/>
    <w:rsid w:val="007F26AD"/>
    <w:rsid w:val="007F2C22"/>
    <w:rsid w:val="007F323C"/>
    <w:rsid w:val="00801B1B"/>
    <w:rsid w:val="008060E0"/>
    <w:rsid w:val="008067BF"/>
    <w:rsid w:val="00806DAE"/>
    <w:rsid w:val="0080763E"/>
    <w:rsid w:val="00815013"/>
    <w:rsid w:val="00816321"/>
    <w:rsid w:val="008243BB"/>
    <w:rsid w:val="0082443B"/>
    <w:rsid w:val="00825190"/>
    <w:rsid w:val="0082531E"/>
    <w:rsid w:val="00825F9F"/>
    <w:rsid w:val="008276FC"/>
    <w:rsid w:val="00832450"/>
    <w:rsid w:val="008330D5"/>
    <w:rsid w:val="00833518"/>
    <w:rsid w:val="00834248"/>
    <w:rsid w:val="0083614F"/>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5ADF"/>
    <w:rsid w:val="00876A9D"/>
    <w:rsid w:val="00876D45"/>
    <w:rsid w:val="00886594"/>
    <w:rsid w:val="00890951"/>
    <w:rsid w:val="0089454B"/>
    <w:rsid w:val="0089647F"/>
    <w:rsid w:val="00897B47"/>
    <w:rsid w:val="008A7857"/>
    <w:rsid w:val="008B5317"/>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4EE"/>
    <w:rsid w:val="008E30C1"/>
    <w:rsid w:val="008E4002"/>
    <w:rsid w:val="008F1BC0"/>
    <w:rsid w:val="008F30BA"/>
    <w:rsid w:val="008F42B5"/>
    <w:rsid w:val="008F5251"/>
    <w:rsid w:val="008F6552"/>
    <w:rsid w:val="008F70DC"/>
    <w:rsid w:val="0090172A"/>
    <w:rsid w:val="009041D2"/>
    <w:rsid w:val="00905A84"/>
    <w:rsid w:val="00906406"/>
    <w:rsid w:val="00912166"/>
    <w:rsid w:val="00916B05"/>
    <w:rsid w:val="00916FBE"/>
    <w:rsid w:val="00920ECD"/>
    <w:rsid w:val="009230CB"/>
    <w:rsid w:val="00926A3E"/>
    <w:rsid w:val="00927151"/>
    <w:rsid w:val="0093054F"/>
    <w:rsid w:val="00930B8B"/>
    <w:rsid w:val="0093210B"/>
    <w:rsid w:val="0093389D"/>
    <w:rsid w:val="009357AD"/>
    <w:rsid w:val="00940FB6"/>
    <w:rsid w:val="0094149A"/>
    <w:rsid w:val="00942030"/>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87CA0"/>
    <w:rsid w:val="00992E70"/>
    <w:rsid w:val="00993655"/>
    <w:rsid w:val="009A16A2"/>
    <w:rsid w:val="009A371A"/>
    <w:rsid w:val="009A4B22"/>
    <w:rsid w:val="009A7E50"/>
    <w:rsid w:val="009B2BFF"/>
    <w:rsid w:val="009B348E"/>
    <w:rsid w:val="009B5CF0"/>
    <w:rsid w:val="009B68CF"/>
    <w:rsid w:val="009C1EFB"/>
    <w:rsid w:val="009C3AE1"/>
    <w:rsid w:val="009C3B4A"/>
    <w:rsid w:val="009C3FD0"/>
    <w:rsid w:val="009C69B8"/>
    <w:rsid w:val="009D0385"/>
    <w:rsid w:val="009D2F43"/>
    <w:rsid w:val="009D789B"/>
    <w:rsid w:val="009E15DE"/>
    <w:rsid w:val="009E665C"/>
    <w:rsid w:val="009E7236"/>
    <w:rsid w:val="009F0D3B"/>
    <w:rsid w:val="009F25A4"/>
    <w:rsid w:val="009F61B1"/>
    <w:rsid w:val="009F6CF6"/>
    <w:rsid w:val="00A005C3"/>
    <w:rsid w:val="00A018FE"/>
    <w:rsid w:val="00A159DA"/>
    <w:rsid w:val="00A260C2"/>
    <w:rsid w:val="00A30819"/>
    <w:rsid w:val="00A32BC0"/>
    <w:rsid w:val="00A34E21"/>
    <w:rsid w:val="00A3574B"/>
    <w:rsid w:val="00A406C2"/>
    <w:rsid w:val="00A40A09"/>
    <w:rsid w:val="00A41166"/>
    <w:rsid w:val="00A46329"/>
    <w:rsid w:val="00A474C0"/>
    <w:rsid w:val="00A51580"/>
    <w:rsid w:val="00A521B4"/>
    <w:rsid w:val="00A53BA7"/>
    <w:rsid w:val="00A53EED"/>
    <w:rsid w:val="00A5409D"/>
    <w:rsid w:val="00A5745E"/>
    <w:rsid w:val="00A63D4B"/>
    <w:rsid w:val="00A73630"/>
    <w:rsid w:val="00A74AD2"/>
    <w:rsid w:val="00A75C32"/>
    <w:rsid w:val="00A77047"/>
    <w:rsid w:val="00A77C58"/>
    <w:rsid w:val="00A83D2F"/>
    <w:rsid w:val="00A85D78"/>
    <w:rsid w:val="00A85EB1"/>
    <w:rsid w:val="00A92D91"/>
    <w:rsid w:val="00A97DFB"/>
    <w:rsid w:val="00AA07EB"/>
    <w:rsid w:val="00AA2308"/>
    <w:rsid w:val="00AA34C3"/>
    <w:rsid w:val="00AA3856"/>
    <w:rsid w:val="00AA5031"/>
    <w:rsid w:val="00AA5C2F"/>
    <w:rsid w:val="00AB79AD"/>
    <w:rsid w:val="00AC20D0"/>
    <w:rsid w:val="00AC24F3"/>
    <w:rsid w:val="00AC27FF"/>
    <w:rsid w:val="00AD001C"/>
    <w:rsid w:val="00AD1B36"/>
    <w:rsid w:val="00AD2877"/>
    <w:rsid w:val="00AD2C70"/>
    <w:rsid w:val="00AE3B68"/>
    <w:rsid w:val="00AE4D01"/>
    <w:rsid w:val="00AF0D7D"/>
    <w:rsid w:val="00AF4143"/>
    <w:rsid w:val="00AF453F"/>
    <w:rsid w:val="00AF5622"/>
    <w:rsid w:val="00AF575B"/>
    <w:rsid w:val="00B006CF"/>
    <w:rsid w:val="00B00F88"/>
    <w:rsid w:val="00B028AA"/>
    <w:rsid w:val="00B06AFB"/>
    <w:rsid w:val="00B14810"/>
    <w:rsid w:val="00B23EE5"/>
    <w:rsid w:val="00B323E2"/>
    <w:rsid w:val="00B33DF2"/>
    <w:rsid w:val="00B40277"/>
    <w:rsid w:val="00B41900"/>
    <w:rsid w:val="00B42376"/>
    <w:rsid w:val="00B4612C"/>
    <w:rsid w:val="00B51543"/>
    <w:rsid w:val="00B52A83"/>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3116"/>
    <w:rsid w:val="00BA3CDB"/>
    <w:rsid w:val="00BB1DAA"/>
    <w:rsid w:val="00BB2C6E"/>
    <w:rsid w:val="00BC0523"/>
    <w:rsid w:val="00BC3426"/>
    <w:rsid w:val="00BC355B"/>
    <w:rsid w:val="00BD1D4D"/>
    <w:rsid w:val="00BD75C3"/>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2B15"/>
    <w:rsid w:val="00C347B5"/>
    <w:rsid w:val="00C347D6"/>
    <w:rsid w:val="00C35588"/>
    <w:rsid w:val="00C36631"/>
    <w:rsid w:val="00C369CB"/>
    <w:rsid w:val="00C42032"/>
    <w:rsid w:val="00C4244E"/>
    <w:rsid w:val="00C4621D"/>
    <w:rsid w:val="00C46DB2"/>
    <w:rsid w:val="00C50F2E"/>
    <w:rsid w:val="00C556B3"/>
    <w:rsid w:val="00C5781A"/>
    <w:rsid w:val="00C57862"/>
    <w:rsid w:val="00C60122"/>
    <w:rsid w:val="00C613F2"/>
    <w:rsid w:val="00C64542"/>
    <w:rsid w:val="00C64E18"/>
    <w:rsid w:val="00C65550"/>
    <w:rsid w:val="00C70F8C"/>
    <w:rsid w:val="00C7194C"/>
    <w:rsid w:val="00C71BD0"/>
    <w:rsid w:val="00C76506"/>
    <w:rsid w:val="00C7682D"/>
    <w:rsid w:val="00C76895"/>
    <w:rsid w:val="00C771D0"/>
    <w:rsid w:val="00C83F63"/>
    <w:rsid w:val="00C90B18"/>
    <w:rsid w:val="00C90CDB"/>
    <w:rsid w:val="00C90CE3"/>
    <w:rsid w:val="00C93E39"/>
    <w:rsid w:val="00C93FFC"/>
    <w:rsid w:val="00C962B3"/>
    <w:rsid w:val="00CA03F1"/>
    <w:rsid w:val="00CA1D43"/>
    <w:rsid w:val="00CA72A2"/>
    <w:rsid w:val="00CB3542"/>
    <w:rsid w:val="00CB5046"/>
    <w:rsid w:val="00CB7C4F"/>
    <w:rsid w:val="00CC080A"/>
    <w:rsid w:val="00CC3F4A"/>
    <w:rsid w:val="00CD06F2"/>
    <w:rsid w:val="00CD3863"/>
    <w:rsid w:val="00CD466F"/>
    <w:rsid w:val="00CD5E46"/>
    <w:rsid w:val="00CE61D9"/>
    <w:rsid w:val="00CE7AEA"/>
    <w:rsid w:val="00CF0177"/>
    <w:rsid w:val="00CF096B"/>
    <w:rsid w:val="00CF18D8"/>
    <w:rsid w:val="00CF2678"/>
    <w:rsid w:val="00CF321B"/>
    <w:rsid w:val="00CF5A6F"/>
    <w:rsid w:val="00CF712B"/>
    <w:rsid w:val="00D01012"/>
    <w:rsid w:val="00D01815"/>
    <w:rsid w:val="00D14B9E"/>
    <w:rsid w:val="00D16772"/>
    <w:rsid w:val="00D20998"/>
    <w:rsid w:val="00D21059"/>
    <w:rsid w:val="00D22D8E"/>
    <w:rsid w:val="00D24294"/>
    <w:rsid w:val="00D25F12"/>
    <w:rsid w:val="00D3087A"/>
    <w:rsid w:val="00D3420C"/>
    <w:rsid w:val="00D353F6"/>
    <w:rsid w:val="00D36AE4"/>
    <w:rsid w:val="00D36C07"/>
    <w:rsid w:val="00D3775B"/>
    <w:rsid w:val="00D37DE1"/>
    <w:rsid w:val="00D41D56"/>
    <w:rsid w:val="00D4464A"/>
    <w:rsid w:val="00D45E59"/>
    <w:rsid w:val="00D47D18"/>
    <w:rsid w:val="00D521BB"/>
    <w:rsid w:val="00D5273E"/>
    <w:rsid w:val="00D54AAA"/>
    <w:rsid w:val="00D54EF4"/>
    <w:rsid w:val="00D60AA1"/>
    <w:rsid w:val="00D61117"/>
    <w:rsid w:val="00D66B9E"/>
    <w:rsid w:val="00D66BEE"/>
    <w:rsid w:val="00D70520"/>
    <w:rsid w:val="00D708F9"/>
    <w:rsid w:val="00D710C6"/>
    <w:rsid w:val="00D73179"/>
    <w:rsid w:val="00D81B6A"/>
    <w:rsid w:val="00D824E8"/>
    <w:rsid w:val="00D82AFE"/>
    <w:rsid w:val="00D86AE0"/>
    <w:rsid w:val="00D91ADD"/>
    <w:rsid w:val="00D9248C"/>
    <w:rsid w:val="00D925EC"/>
    <w:rsid w:val="00D93712"/>
    <w:rsid w:val="00DA1234"/>
    <w:rsid w:val="00DA13A7"/>
    <w:rsid w:val="00DA1D24"/>
    <w:rsid w:val="00DA317F"/>
    <w:rsid w:val="00DA5B97"/>
    <w:rsid w:val="00DB0E2F"/>
    <w:rsid w:val="00DB411B"/>
    <w:rsid w:val="00DB734A"/>
    <w:rsid w:val="00DC0343"/>
    <w:rsid w:val="00DC541D"/>
    <w:rsid w:val="00DC7D58"/>
    <w:rsid w:val="00DD0607"/>
    <w:rsid w:val="00DD3DA2"/>
    <w:rsid w:val="00DD7796"/>
    <w:rsid w:val="00DE54C8"/>
    <w:rsid w:val="00DF5C00"/>
    <w:rsid w:val="00E037E0"/>
    <w:rsid w:val="00E10A9C"/>
    <w:rsid w:val="00E10AFB"/>
    <w:rsid w:val="00E11219"/>
    <w:rsid w:val="00E11AB2"/>
    <w:rsid w:val="00E1338A"/>
    <w:rsid w:val="00E21667"/>
    <w:rsid w:val="00E313D4"/>
    <w:rsid w:val="00E3262A"/>
    <w:rsid w:val="00E33F48"/>
    <w:rsid w:val="00E34D59"/>
    <w:rsid w:val="00E35B07"/>
    <w:rsid w:val="00E35B28"/>
    <w:rsid w:val="00E430B6"/>
    <w:rsid w:val="00E4357C"/>
    <w:rsid w:val="00E446C7"/>
    <w:rsid w:val="00E465D5"/>
    <w:rsid w:val="00E51437"/>
    <w:rsid w:val="00E514F0"/>
    <w:rsid w:val="00E56E4F"/>
    <w:rsid w:val="00E574C8"/>
    <w:rsid w:val="00E624C6"/>
    <w:rsid w:val="00E660C2"/>
    <w:rsid w:val="00E66C5A"/>
    <w:rsid w:val="00E70608"/>
    <w:rsid w:val="00E72477"/>
    <w:rsid w:val="00E73BCB"/>
    <w:rsid w:val="00E81445"/>
    <w:rsid w:val="00E81ED8"/>
    <w:rsid w:val="00E8608B"/>
    <w:rsid w:val="00E8651D"/>
    <w:rsid w:val="00E875F2"/>
    <w:rsid w:val="00E905AA"/>
    <w:rsid w:val="00E91607"/>
    <w:rsid w:val="00E91CA6"/>
    <w:rsid w:val="00EA0A32"/>
    <w:rsid w:val="00EA497F"/>
    <w:rsid w:val="00EA6076"/>
    <w:rsid w:val="00EB5564"/>
    <w:rsid w:val="00EC318E"/>
    <w:rsid w:val="00EC3BD0"/>
    <w:rsid w:val="00EC6850"/>
    <w:rsid w:val="00EC7553"/>
    <w:rsid w:val="00ED01CB"/>
    <w:rsid w:val="00ED0B56"/>
    <w:rsid w:val="00ED1028"/>
    <w:rsid w:val="00ED43E6"/>
    <w:rsid w:val="00ED4E84"/>
    <w:rsid w:val="00ED7744"/>
    <w:rsid w:val="00EE09A7"/>
    <w:rsid w:val="00EF4C0F"/>
    <w:rsid w:val="00F001C9"/>
    <w:rsid w:val="00F0387B"/>
    <w:rsid w:val="00F0621B"/>
    <w:rsid w:val="00F069EF"/>
    <w:rsid w:val="00F07319"/>
    <w:rsid w:val="00F1472B"/>
    <w:rsid w:val="00F15F1E"/>
    <w:rsid w:val="00F16105"/>
    <w:rsid w:val="00F1649A"/>
    <w:rsid w:val="00F16D99"/>
    <w:rsid w:val="00F24AE3"/>
    <w:rsid w:val="00F2782A"/>
    <w:rsid w:val="00F30F6A"/>
    <w:rsid w:val="00F34E22"/>
    <w:rsid w:val="00F40ACE"/>
    <w:rsid w:val="00F46BB2"/>
    <w:rsid w:val="00F47367"/>
    <w:rsid w:val="00F50B88"/>
    <w:rsid w:val="00F53552"/>
    <w:rsid w:val="00F5450D"/>
    <w:rsid w:val="00F565BC"/>
    <w:rsid w:val="00F568BF"/>
    <w:rsid w:val="00F57CDA"/>
    <w:rsid w:val="00F608A9"/>
    <w:rsid w:val="00F61659"/>
    <w:rsid w:val="00F61926"/>
    <w:rsid w:val="00F62179"/>
    <w:rsid w:val="00F63579"/>
    <w:rsid w:val="00F63E36"/>
    <w:rsid w:val="00F64E1C"/>
    <w:rsid w:val="00F65F82"/>
    <w:rsid w:val="00F670AF"/>
    <w:rsid w:val="00F70EDC"/>
    <w:rsid w:val="00F72FEA"/>
    <w:rsid w:val="00F730BB"/>
    <w:rsid w:val="00F82743"/>
    <w:rsid w:val="00F90D58"/>
    <w:rsid w:val="00F9115A"/>
    <w:rsid w:val="00F92104"/>
    <w:rsid w:val="00F95A91"/>
    <w:rsid w:val="00FA362E"/>
    <w:rsid w:val="00FA5633"/>
    <w:rsid w:val="00FA6B40"/>
    <w:rsid w:val="00FB01ED"/>
    <w:rsid w:val="00FB158B"/>
    <w:rsid w:val="00FB338C"/>
    <w:rsid w:val="00FB47FE"/>
    <w:rsid w:val="00FB5A4A"/>
    <w:rsid w:val="00FC5BF0"/>
    <w:rsid w:val="00FC6093"/>
    <w:rsid w:val="00FC7C14"/>
    <w:rsid w:val="00FC7C5B"/>
    <w:rsid w:val="00FD1210"/>
    <w:rsid w:val="00FD255B"/>
    <w:rsid w:val="00FD3D04"/>
    <w:rsid w:val="00FD423D"/>
    <w:rsid w:val="00FD61D3"/>
    <w:rsid w:val="00FD6BF6"/>
    <w:rsid w:val="00FE2F3B"/>
    <w:rsid w:val="00FE31DF"/>
    <w:rsid w:val="00FE354F"/>
    <w:rsid w:val="00FE5C97"/>
    <w:rsid w:val="00FF03ED"/>
    <w:rsid w:val="00FF1D6C"/>
    <w:rsid w:val="00FF43D9"/>
    <w:rsid w:val="00FF4988"/>
    <w:rsid w:val="02C968B9"/>
    <w:rsid w:val="03F743E0"/>
    <w:rsid w:val="04043713"/>
    <w:rsid w:val="059A42BB"/>
    <w:rsid w:val="071243FC"/>
    <w:rsid w:val="080737D2"/>
    <w:rsid w:val="0C48260B"/>
    <w:rsid w:val="0CAD6F7B"/>
    <w:rsid w:val="0CFB58CF"/>
    <w:rsid w:val="0D137D5A"/>
    <w:rsid w:val="0D162709"/>
    <w:rsid w:val="0D270472"/>
    <w:rsid w:val="0E124C7E"/>
    <w:rsid w:val="0E924011"/>
    <w:rsid w:val="0FE20680"/>
    <w:rsid w:val="11FB0A3C"/>
    <w:rsid w:val="120E7E53"/>
    <w:rsid w:val="13660E16"/>
    <w:rsid w:val="137837D5"/>
    <w:rsid w:val="141F1EA3"/>
    <w:rsid w:val="143F60A1"/>
    <w:rsid w:val="148F7029"/>
    <w:rsid w:val="14F97D01"/>
    <w:rsid w:val="15B91E83"/>
    <w:rsid w:val="1638549E"/>
    <w:rsid w:val="16CB4564"/>
    <w:rsid w:val="16E178E4"/>
    <w:rsid w:val="180A1D0F"/>
    <w:rsid w:val="185660E3"/>
    <w:rsid w:val="1890336F"/>
    <w:rsid w:val="19212219"/>
    <w:rsid w:val="193C24A9"/>
    <w:rsid w:val="1AF073B9"/>
    <w:rsid w:val="1B102545"/>
    <w:rsid w:val="1B462549"/>
    <w:rsid w:val="1D055CAD"/>
    <w:rsid w:val="1D94745E"/>
    <w:rsid w:val="1E104249"/>
    <w:rsid w:val="1E371724"/>
    <w:rsid w:val="1F636C76"/>
    <w:rsid w:val="1F8359DC"/>
    <w:rsid w:val="1FB65DB1"/>
    <w:rsid w:val="1FD224BF"/>
    <w:rsid w:val="20C55B80"/>
    <w:rsid w:val="217F019E"/>
    <w:rsid w:val="21FD4727"/>
    <w:rsid w:val="22326A18"/>
    <w:rsid w:val="228F4698"/>
    <w:rsid w:val="231D1CA3"/>
    <w:rsid w:val="233D0598"/>
    <w:rsid w:val="25D52D09"/>
    <w:rsid w:val="25E940BF"/>
    <w:rsid w:val="25F74A2E"/>
    <w:rsid w:val="2624159B"/>
    <w:rsid w:val="26A12BEB"/>
    <w:rsid w:val="26A76454"/>
    <w:rsid w:val="27F16519"/>
    <w:rsid w:val="281B69F3"/>
    <w:rsid w:val="297168A5"/>
    <w:rsid w:val="29ED61B1"/>
    <w:rsid w:val="2AAB2B57"/>
    <w:rsid w:val="2BDC2A64"/>
    <w:rsid w:val="2C9E20A7"/>
    <w:rsid w:val="2CE6285C"/>
    <w:rsid w:val="2E385BE3"/>
    <w:rsid w:val="2E497DF1"/>
    <w:rsid w:val="2F5B6DF1"/>
    <w:rsid w:val="2F5E78CC"/>
    <w:rsid w:val="2F6F7D2B"/>
    <w:rsid w:val="2F7966B2"/>
    <w:rsid w:val="31140B8A"/>
    <w:rsid w:val="319F27EA"/>
    <w:rsid w:val="31FB58A6"/>
    <w:rsid w:val="336F022E"/>
    <w:rsid w:val="34360E17"/>
    <w:rsid w:val="349124F1"/>
    <w:rsid w:val="35977693"/>
    <w:rsid w:val="36907F30"/>
    <w:rsid w:val="36B97ADD"/>
    <w:rsid w:val="372413FB"/>
    <w:rsid w:val="379C3687"/>
    <w:rsid w:val="38227E99"/>
    <w:rsid w:val="38482EC7"/>
    <w:rsid w:val="38926838"/>
    <w:rsid w:val="393B4516"/>
    <w:rsid w:val="39400042"/>
    <w:rsid w:val="39CE564E"/>
    <w:rsid w:val="3C1F23A4"/>
    <w:rsid w:val="3C2459F9"/>
    <w:rsid w:val="3C74072E"/>
    <w:rsid w:val="3C824BB9"/>
    <w:rsid w:val="3CF61143"/>
    <w:rsid w:val="3D8E3A72"/>
    <w:rsid w:val="3E7762B4"/>
    <w:rsid w:val="3ED2798E"/>
    <w:rsid w:val="40235657"/>
    <w:rsid w:val="41A03D74"/>
    <w:rsid w:val="42C4113B"/>
    <w:rsid w:val="435B2648"/>
    <w:rsid w:val="43B35FE0"/>
    <w:rsid w:val="4476700E"/>
    <w:rsid w:val="45261FDD"/>
    <w:rsid w:val="453F5652"/>
    <w:rsid w:val="45D64208"/>
    <w:rsid w:val="46094D29"/>
    <w:rsid w:val="46C71DA3"/>
    <w:rsid w:val="4A1E3D62"/>
    <w:rsid w:val="4B49722A"/>
    <w:rsid w:val="4C0A4C0B"/>
    <w:rsid w:val="4C7258FF"/>
    <w:rsid w:val="4C871DB8"/>
    <w:rsid w:val="4E375A60"/>
    <w:rsid w:val="4E8A68FF"/>
    <w:rsid w:val="4FD64330"/>
    <w:rsid w:val="506B379F"/>
    <w:rsid w:val="5181771E"/>
    <w:rsid w:val="520420FD"/>
    <w:rsid w:val="52EB0BC7"/>
    <w:rsid w:val="53B536AF"/>
    <w:rsid w:val="54040F22"/>
    <w:rsid w:val="54CB68CF"/>
    <w:rsid w:val="556F583A"/>
    <w:rsid w:val="55A72A15"/>
    <w:rsid w:val="55CA0F67"/>
    <w:rsid w:val="55D462C2"/>
    <w:rsid w:val="56867584"/>
    <w:rsid w:val="57325016"/>
    <w:rsid w:val="58095082"/>
    <w:rsid w:val="58466FCB"/>
    <w:rsid w:val="5A182090"/>
    <w:rsid w:val="5A2D7C81"/>
    <w:rsid w:val="5A9F0C15"/>
    <w:rsid w:val="5AF34ABD"/>
    <w:rsid w:val="5B5419FF"/>
    <w:rsid w:val="5B995664"/>
    <w:rsid w:val="5C2238AB"/>
    <w:rsid w:val="5C34538D"/>
    <w:rsid w:val="5CAF2C65"/>
    <w:rsid w:val="5CDF3708"/>
    <w:rsid w:val="5D5E0913"/>
    <w:rsid w:val="5E316028"/>
    <w:rsid w:val="5E331DA0"/>
    <w:rsid w:val="5E6261E1"/>
    <w:rsid w:val="6028345A"/>
    <w:rsid w:val="607C197A"/>
    <w:rsid w:val="611A0FF5"/>
    <w:rsid w:val="61D03DA9"/>
    <w:rsid w:val="61D06364"/>
    <w:rsid w:val="62456545"/>
    <w:rsid w:val="635527B8"/>
    <w:rsid w:val="646F78AA"/>
    <w:rsid w:val="64CE0D28"/>
    <w:rsid w:val="65183A9D"/>
    <w:rsid w:val="67542D87"/>
    <w:rsid w:val="676B40F0"/>
    <w:rsid w:val="679A3871"/>
    <w:rsid w:val="679F563F"/>
    <w:rsid w:val="67BA7983"/>
    <w:rsid w:val="690E4A05"/>
    <w:rsid w:val="6ABA1153"/>
    <w:rsid w:val="6B122D3D"/>
    <w:rsid w:val="6B20545A"/>
    <w:rsid w:val="6B334443"/>
    <w:rsid w:val="6B3C7DBA"/>
    <w:rsid w:val="6BC404DB"/>
    <w:rsid w:val="6BCC758B"/>
    <w:rsid w:val="6D874D7F"/>
    <w:rsid w:val="6E2C05BA"/>
    <w:rsid w:val="6E7C509D"/>
    <w:rsid w:val="6EF70BC7"/>
    <w:rsid w:val="6F484F7F"/>
    <w:rsid w:val="6F4D4C8B"/>
    <w:rsid w:val="6FB10D76"/>
    <w:rsid w:val="704C0A9F"/>
    <w:rsid w:val="71A60683"/>
    <w:rsid w:val="72596111"/>
    <w:rsid w:val="72E74AAF"/>
    <w:rsid w:val="73025D8D"/>
    <w:rsid w:val="730438B3"/>
    <w:rsid w:val="73A6496A"/>
    <w:rsid w:val="755F55BA"/>
    <w:rsid w:val="756920F3"/>
    <w:rsid w:val="762242E8"/>
    <w:rsid w:val="76B0064B"/>
    <w:rsid w:val="770025E3"/>
    <w:rsid w:val="77843214"/>
    <w:rsid w:val="77A2369A"/>
    <w:rsid w:val="77CB2BF1"/>
    <w:rsid w:val="78191BAF"/>
    <w:rsid w:val="79FF3026"/>
    <w:rsid w:val="7A2D77E6"/>
    <w:rsid w:val="7A886B78"/>
    <w:rsid w:val="7B3F192C"/>
    <w:rsid w:val="7B60416B"/>
    <w:rsid w:val="7B707D38"/>
    <w:rsid w:val="7C214BB4"/>
    <w:rsid w:val="7CC43CC7"/>
    <w:rsid w:val="7D9B19E9"/>
    <w:rsid w:val="7DE844FD"/>
    <w:rsid w:val="7E192CA0"/>
    <w:rsid w:val="7EA574C2"/>
    <w:rsid w:val="7EAB72D9"/>
    <w:rsid w:val="7EF0118F"/>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8"/>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9"/>
    <w:semiHidden/>
    <w:unhideWhenUsed/>
    <w:qFormat/>
    <w:uiPriority w:val="99"/>
    <w:pPr>
      <w:ind w:firstLine="420" w:firstLineChars="200"/>
    </w:pPr>
  </w:style>
  <w:style w:type="paragraph" w:styleId="3">
    <w:name w:val="Body Text Indent"/>
    <w:basedOn w:val="1"/>
    <w:next w:val="4"/>
    <w:link w:val="38"/>
    <w:semiHidden/>
    <w:unhideWhenUsed/>
    <w:qFormat/>
    <w:uiPriority w:val="99"/>
    <w:pPr>
      <w:spacing w:after="120"/>
      <w:ind w:left="420" w:leftChars="200"/>
    </w:pPr>
  </w:style>
  <w:style w:type="paragraph" w:styleId="4">
    <w:name w:val="envelope return"/>
    <w:basedOn w:val="1"/>
    <w:qFormat/>
    <w:uiPriority w:val="99"/>
    <w:pPr>
      <w:snapToGrid w:val="0"/>
    </w:pPr>
    <w:rPr>
      <w:rFonts w:ascii="Arial" w:hAnsi="Arial" w:cs="Arial"/>
    </w:rPr>
  </w:style>
  <w:style w:type="paragraph" w:styleId="9">
    <w:name w:val="Normal Indent"/>
    <w:basedOn w:val="1"/>
    <w:link w:val="31"/>
    <w:qFormat/>
    <w:uiPriority w:val="0"/>
    <w:pPr>
      <w:ind w:firstLine="420"/>
    </w:pPr>
  </w:style>
  <w:style w:type="paragraph" w:styleId="10">
    <w:name w:val="annotation text"/>
    <w:basedOn w:val="1"/>
    <w:link w:val="37"/>
    <w:qFormat/>
    <w:uiPriority w:val="0"/>
    <w:pPr>
      <w:jc w:val="left"/>
    </w:pPr>
    <w:rPr>
      <w:rFonts w:ascii="Calibri" w:hAnsi="Calibri" w:eastAsia="宋体" w:cs="Times New Roman"/>
      <w:szCs w:val="24"/>
    </w:rPr>
  </w:style>
  <w:style w:type="paragraph" w:styleId="11">
    <w:name w:val="Body Text"/>
    <w:basedOn w:val="1"/>
    <w:link w:val="33"/>
    <w:qFormat/>
    <w:uiPriority w:val="1"/>
    <w:pPr>
      <w:ind w:left="102"/>
    </w:pPr>
    <w:rPr>
      <w:rFonts w:ascii="仿宋" w:hAnsi="仿宋" w:eastAsia="仿宋"/>
      <w:sz w:val="28"/>
      <w:szCs w:val="28"/>
    </w:rPr>
  </w:style>
  <w:style w:type="paragraph" w:styleId="12">
    <w:name w:val="Balloon Text"/>
    <w:basedOn w:val="1"/>
    <w:link w:val="29"/>
    <w:semiHidden/>
    <w:unhideWhenUsed/>
    <w:qFormat/>
    <w:uiPriority w:val="99"/>
    <w:rPr>
      <w:sz w:val="18"/>
      <w:szCs w:val="18"/>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7">
    <w:name w:val="Table Grid"/>
    <w:basedOn w:val="1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qFormat/>
    <w:uiPriority w:val="0"/>
    <w:rPr>
      <w:sz w:val="21"/>
      <w:szCs w:val="21"/>
    </w:rPr>
  </w:style>
  <w:style w:type="character" w:customStyle="1" w:styleId="20">
    <w:name w:val="标题 1 字符"/>
    <w:basedOn w:val="18"/>
    <w:link w:val="5"/>
    <w:qFormat/>
    <w:uiPriority w:val="9"/>
    <w:rPr>
      <w:b/>
      <w:bCs/>
      <w:kern w:val="44"/>
      <w:sz w:val="44"/>
      <w:szCs w:val="44"/>
    </w:rPr>
  </w:style>
  <w:style w:type="table" w:customStyle="1" w:styleId="21">
    <w:name w:val="SGS Table Basic 11"/>
    <w:basedOn w:val="16"/>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2">
    <w:name w:val="页眉 字符"/>
    <w:basedOn w:val="18"/>
    <w:link w:val="14"/>
    <w:qFormat/>
    <w:uiPriority w:val="99"/>
    <w:rPr>
      <w:sz w:val="18"/>
      <w:szCs w:val="18"/>
    </w:rPr>
  </w:style>
  <w:style w:type="character" w:customStyle="1" w:styleId="23">
    <w:name w:val="页脚 字符"/>
    <w:basedOn w:val="18"/>
    <w:link w:val="13"/>
    <w:qFormat/>
    <w:uiPriority w:val="99"/>
    <w:rPr>
      <w:sz w:val="18"/>
      <w:szCs w:val="18"/>
    </w:rPr>
  </w:style>
  <w:style w:type="character" w:customStyle="1" w:styleId="24">
    <w:name w:val="NormalCharacter"/>
    <w:qFormat/>
    <w:uiPriority w:val="0"/>
    <w:rPr>
      <w:kern w:val="2"/>
      <w:sz w:val="21"/>
      <w:szCs w:val="22"/>
      <w:lang w:val="en-US" w:eastAsia="zh-CN" w:bidi="ar-SA"/>
    </w:rPr>
  </w:style>
  <w:style w:type="paragraph" w:customStyle="1" w:styleId="25">
    <w:name w:val="列出段落1"/>
    <w:basedOn w:val="1"/>
    <w:qFormat/>
    <w:uiPriority w:val="0"/>
    <w:pPr>
      <w:ind w:firstLine="200" w:firstLineChars="200"/>
    </w:pPr>
    <w:rPr>
      <w:rFonts w:ascii="Calibri" w:hAnsi="Calibri" w:eastAsia="宋体" w:cs="Times New Roman"/>
    </w:rPr>
  </w:style>
  <w:style w:type="paragraph" w:styleId="26">
    <w:name w:val="List Paragraph"/>
    <w:basedOn w:val="1"/>
    <w:qFormat/>
    <w:uiPriority w:val="34"/>
    <w:pPr>
      <w:ind w:firstLine="420"/>
    </w:pPr>
    <w:rPr>
      <w:rFonts w:ascii="Calibri" w:hAnsi="Calibri" w:eastAsia="宋体" w:cs="Times New Roman"/>
      <w:szCs w:val="24"/>
    </w:rPr>
  </w:style>
  <w:style w:type="character" w:customStyle="1" w:styleId="27">
    <w:name w:val="标题 2 字符"/>
    <w:basedOn w:val="18"/>
    <w:link w:val="6"/>
    <w:qFormat/>
    <w:uiPriority w:val="0"/>
    <w:rPr>
      <w:rFonts w:asciiTheme="majorHAnsi" w:hAnsiTheme="majorHAnsi" w:eastAsiaTheme="majorEastAsia" w:cstheme="majorBidi"/>
      <w:b/>
      <w:bCs/>
      <w:sz w:val="32"/>
      <w:szCs w:val="32"/>
    </w:rPr>
  </w:style>
  <w:style w:type="character" w:customStyle="1" w:styleId="28">
    <w:name w:val="标题 3 字符"/>
    <w:basedOn w:val="18"/>
    <w:link w:val="7"/>
    <w:qFormat/>
    <w:uiPriority w:val="0"/>
    <w:rPr>
      <w:b/>
      <w:bCs/>
      <w:sz w:val="32"/>
      <w:szCs w:val="32"/>
    </w:rPr>
  </w:style>
  <w:style w:type="character" w:customStyle="1" w:styleId="29">
    <w:name w:val="批注框文本 字符"/>
    <w:basedOn w:val="18"/>
    <w:link w:val="12"/>
    <w:semiHidden/>
    <w:qFormat/>
    <w:uiPriority w:val="99"/>
    <w:rPr>
      <w:sz w:val="18"/>
      <w:szCs w:val="18"/>
    </w:rPr>
  </w:style>
  <w:style w:type="paragraph" w:customStyle="1" w:styleId="30">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1">
    <w:name w:val="正文缩进 字符"/>
    <w:link w:val="9"/>
    <w:qFormat/>
    <w:uiPriority w:val="0"/>
  </w:style>
  <w:style w:type="paragraph" w:customStyle="1" w:styleId="32">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3">
    <w:name w:val="正文文本 字符"/>
    <w:basedOn w:val="18"/>
    <w:link w:val="11"/>
    <w:qFormat/>
    <w:uiPriority w:val="1"/>
    <w:rPr>
      <w:rFonts w:ascii="仿宋" w:hAnsi="仿宋" w:eastAsia="仿宋"/>
      <w:sz w:val="28"/>
      <w:szCs w:val="28"/>
    </w:rPr>
  </w:style>
  <w:style w:type="paragraph" w:customStyle="1" w:styleId="34">
    <w:name w:val="正文1"/>
    <w:basedOn w:val="1"/>
    <w:qFormat/>
    <w:uiPriority w:val="0"/>
    <w:pPr>
      <w:spacing w:line="360" w:lineRule="auto"/>
      <w:ind w:firstLine="361"/>
    </w:pPr>
    <w:rPr>
      <w:rFonts w:ascii="宋体" w:hAnsi="宋体" w:eastAsia="宋体" w:cs="Times New Roman"/>
      <w:szCs w:val="24"/>
    </w:rPr>
  </w:style>
  <w:style w:type="character" w:customStyle="1" w:styleId="35">
    <w:name w:val="正文缩进2格 Char"/>
    <w:link w:val="36"/>
    <w:qFormat/>
    <w:locked/>
    <w:uiPriority w:val="0"/>
    <w:rPr>
      <w:rFonts w:ascii="仿宋_GB2312" w:hAnsi="宋体" w:eastAsia="仿宋_GB2312"/>
      <w:sz w:val="31"/>
      <w:szCs w:val="28"/>
    </w:rPr>
  </w:style>
  <w:style w:type="paragraph" w:customStyle="1" w:styleId="36">
    <w:name w:val="正文缩进2格"/>
    <w:basedOn w:val="1"/>
    <w:link w:val="35"/>
    <w:qFormat/>
    <w:uiPriority w:val="0"/>
    <w:pPr>
      <w:spacing w:line="600" w:lineRule="exact"/>
      <w:ind w:firstLine="639" w:firstLineChars="206"/>
    </w:pPr>
    <w:rPr>
      <w:rFonts w:ascii="仿宋_GB2312" w:hAnsi="宋体" w:eastAsia="仿宋_GB2312"/>
      <w:sz w:val="31"/>
      <w:szCs w:val="28"/>
    </w:rPr>
  </w:style>
  <w:style w:type="character" w:customStyle="1" w:styleId="37">
    <w:name w:val="批注文字 字符"/>
    <w:basedOn w:val="18"/>
    <w:link w:val="10"/>
    <w:qFormat/>
    <w:uiPriority w:val="0"/>
    <w:rPr>
      <w:rFonts w:ascii="Calibri" w:hAnsi="Calibri" w:eastAsia="宋体" w:cs="Times New Roman"/>
      <w:kern w:val="2"/>
      <w:sz w:val="21"/>
      <w:szCs w:val="24"/>
    </w:rPr>
  </w:style>
  <w:style w:type="character" w:customStyle="1" w:styleId="38">
    <w:name w:val="正文文本缩进 字符"/>
    <w:basedOn w:val="18"/>
    <w:link w:val="3"/>
    <w:semiHidden/>
    <w:qFormat/>
    <w:uiPriority w:val="99"/>
    <w:rPr>
      <w:kern w:val="2"/>
      <w:sz w:val="21"/>
      <w:szCs w:val="22"/>
    </w:rPr>
  </w:style>
  <w:style w:type="character" w:customStyle="1" w:styleId="39">
    <w:name w:val="正文文本首行缩进 2 字符"/>
    <w:basedOn w:val="38"/>
    <w:link w:val="2"/>
    <w:semiHidden/>
    <w:qFormat/>
    <w:uiPriority w:val="99"/>
    <w:rPr>
      <w:kern w:val="2"/>
      <w:sz w:val="21"/>
      <w:szCs w:val="22"/>
    </w:rPr>
  </w:style>
  <w:style w:type="character" w:customStyle="1" w:styleId="40">
    <w:name w:val="标题 4 字符"/>
    <w:basedOn w:val="18"/>
    <w:link w:val="8"/>
    <w:semiHidden/>
    <w:qFormat/>
    <w:uiPriority w:val="9"/>
    <w:rPr>
      <w:rFonts w:asciiTheme="majorHAnsi" w:hAnsiTheme="majorHAnsi" w:eastAsiaTheme="majorEastAsia" w:cstheme="majorBidi"/>
      <w:b/>
      <w:bCs/>
      <w:kern w:val="2"/>
      <w:sz w:val="28"/>
      <w:szCs w:val="28"/>
    </w:rPr>
  </w:style>
  <w:style w:type="paragraph" w:customStyle="1" w:styleId="41">
    <w:name w:val="正文首行缩进12"/>
    <w:basedOn w:val="42"/>
    <w:qFormat/>
    <w:uiPriority w:val="0"/>
    <w:pPr>
      <w:spacing w:line="360" w:lineRule="auto"/>
      <w:ind w:firstLine="200"/>
    </w:pPr>
    <w:rPr>
      <w:rFonts w:ascii="仿宋_GB2312" w:hAnsi="Times New Roman" w:eastAsia="仿宋_GB2312"/>
      <w:sz w:val="30"/>
      <w:szCs w:val="30"/>
    </w:rPr>
  </w:style>
  <w:style w:type="paragraph" w:customStyle="1" w:styleId="42">
    <w:name w:val="正文文本12"/>
    <w:basedOn w:val="1"/>
    <w:next w:val="1"/>
    <w:qFormat/>
    <w:uiPriority w:val="0"/>
    <w:rPr>
      <w:rFonts w:ascii="仿宋_GB2312"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Normal.dotm</Template>
  <Company>jshl2015</Company>
  <Pages>46</Pages>
  <Words>80</Words>
  <Characters>80</Characters>
  <Lines>177</Lines>
  <Paragraphs>50</Paragraphs>
  <TotalTime>15</TotalTime>
  <ScaleCrop>false</ScaleCrop>
  <LinksUpToDate>false</LinksUpToDate>
  <CharactersWithSpaces>82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2025-08-08T13:06:00Z</dcterms:created>
  <dc:creator>bailing</dc:creator>
  <cp:lastModifiedBy>吴新兴</cp:lastModifiedBy>
  <cp:lastPrinted>2025-08-11T02:04:00Z</cp:lastPrinted>
  <dcterms:modified xsi:type="dcterms:W3CDTF">2026-01-23T01:44:44Z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395B5AC05A134B04B8BDF195E3B3E614</vt:lpwstr>
  </property>
  <property fmtid="{D5CDD505-2E9C-101B-9397-08002B2CF9AE}" pid="4" name="KSOTemplateDocerSaveRecord">
    <vt:lpwstr>eyJoZGlkIjoiYzIxNjQ3NWY5ZGU4MmRkNDVkNDhmNTUzZGE4OWU3OGYiLCJ1c2VySWQiOiIxNjc4MDg0NTgzIn0=</vt:lpwstr>
  </property>
</Properties>
</file>