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ind w:firstLine="579" w:firstLineChars="200"/>
        <w:jc w:val="center"/>
        <w:rPr>
          <w:rFonts w:hint="eastAsia" w:ascii="宋体" w:hAnsi="宋体" w:eastAsia="宋体" w:cs="宋体"/>
          <w:b/>
          <w:color w:val="auto"/>
          <w:w w:val="80"/>
          <w:kern w:val="44"/>
          <w:sz w:val="36"/>
          <w:szCs w:val="36"/>
          <w:highlight w:val="none"/>
        </w:rPr>
      </w:pPr>
      <w:bookmarkStart w:id="1" w:name="_GoBack"/>
      <w:bookmarkEnd w:id="1"/>
      <w:r>
        <w:rPr>
          <w:rFonts w:hint="eastAsia" w:ascii="宋体" w:hAnsi="宋体" w:eastAsia="宋体" w:cs="宋体"/>
          <w:b/>
          <w:color w:val="auto"/>
          <w:w w:val="80"/>
          <w:kern w:val="44"/>
          <w:sz w:val="36"/>
          <w:szCs w:val="36"/>
          <w:highlight w:val="none"/>
        </w:rPr>
        <w:t>南通市区2026年度地方政府专项债券发行对应项目第三方法律审查评估项目需求</w:t>
      </w:r>
    </w:p>
    <w:p>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开展南通市</w:t>
      </w:r>
      <w:r>
        <w:rPr>
          <w:rFonts w:ascii="宋体" w:hAnsi="宋体" w:eastAsia="宋体" w:cs="宋体"/>
          <w:i w:val="0"/>
          <w:iCs w:val="0"/>
          <w:caps w:val="0"/>
          <w:color w:val="000000"/>
          <w:spacing w:val="0"/>
          <w:sz w:val="24"/>
          <w:szCs w:val="24"/>
        </w:rPr>
        <w:t>区</w:t>
      </w:r>
      <w:r>
        <w:rPr>
          <w:rFonts w:hint="eastAsia" w:ascii="宋体" w:eastAsia="宋体" w:cs="宋体"/>
          <w:color w:val="auto"/>
          <w:kern w:val="0"/>
          <w:sz w:val="24"/>
          <w:szCs w:val="24"/>
          <w:highlight w:val="none"/>
        </w:rPr>
        <w:t>2026年度地方政府专项债券发行对应项目第三方法律审查评估，由律师事务所出具法律意见书。</w:t>
      </w:r>
    </w:p>
    <w:p>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二、服务内容</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根据《关于转发财政部地方政府债务信息公开办法（试行）的通知》等文件要求，南通市</w:t>
      </w:r>
      <w:r>
        <w:rPr>
          <w:rFonts w:ascii="宋体" w:hAnsi="宋体" w:eastAsia="宋体" w:cs="宋体"/>
          <w:i w:val="0"/>
          <w:iCs w:val="0"/>
          <w:caps w:val="0"/>
          <w:color w:val="000000"/>
          <w:spacing w:val="0"/>
          <w:sz w:val="24"/>
          <w:szCs w:val="24"/>
        </w:rPr>
        <w:t>区</w:t>
      </w:r>
      <w:r>
        <w:rPr>
          <w:rFonts w:hint="eastAsia" w:ascii="宋体" w:eastAsia="宋体" w:cs="宋体"/>
          <w:color w:val="auto"/>
          <w:kern w:val="0"/>
          <w:sz w:val="24"/>
          <w:szCs w:val="24"/>
          <w:highlight w:val="none"/>
        </w:rPr>
        <w:t>2026年度地方政府专项债券发行对应项目法律审查评估包括但不限于以下方面：</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主体资格审查。审查专项债券对应项目实施单位的设立文件、营业执照、经营范围等，确认其是否具备实施项目的资质和能力，是否依法存续。若存在项目业主单位，需核查其主体资格、与项目实施单位的关系及对项目的权益归属。</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2.专项债券对应项目基本情况审查。</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（1）项目概况审查，审查项目的名称、性质、建设内容、总投资、建设周期、资金来源等基本信息，审查项目是否符合国家政策支持方向，是否含有负面清单内容等；</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项目审批手续核查，逐一核查专项债券对应项目是否取得必要的批复文件，包括可行性研究报告批复、用地预审意见、建设用地规划许可证、建设工程规划许可证、施工许可证、环评批复等，确保项目手续完备性、合法合规性。</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专项债券对应项目收益与融资平衡审查。审查项目收入来源合法合规性，引用会计师事务所的财务评估报告，分析项目收益与融资规模匹配情况，确认项目收益是否能够覆盖专项债券本息、满足收益自求平衡的要求。</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4.债券风险提示。分析专项债券对应项目可能面临的风险，如市场风险、政策风险、项目实施风险、收益不确定性风险等，并提出风险防范建议。</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5.会计师事务所资质审查。核查参与专项债券发行的会计师事务所资质，确认其是否具备从事相关业务的资格，签字人员是否具备合法有效的执业资格。</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综合上述审查内容，中选供应商出具法律意见书，对专项债券对应项目的合法性、合规性、收益性、偿债能力等发表明确的结论性意见，确认项目是否符合发行地方政府专项债券的条件。</w:t>
      </w:r>
    </w:p>
    <w:p>
      <w:pPr>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三、相关要求</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按照相关规定的内容保质保量完成第三方评估任务并出具法律意见书，评估过程和结果应充分体现应有的专业技能，结果须公正、客观。中选单位出具的法律意见书须符合相关规定。</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遵守职业道德,对采购人提供的资料和评估结果,严守秘密。未经采购人同意,中选单位不得自行就被评估项目的事宜直接与被评估单位进行沟通，不得擅自向被评估单位及其他任何第三方透露评估情况。法律、法规另有规定的除外。</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中选单位出具的法律意见书须符合相关规定。</w:t>
      </w:r>
    </w:p>
    <w:p>
      <w:pPr>
        <w:adjustRightInd w:val="0"/>
        <w:spacing w:line="360" w:lineRule="auto"/>
        <w:ind w:firstLine="482" w:firstLineChars="200"/>
        <w:rPr>
          <w:rFonts w:hint="eastAsia" w:ascii="宋体" w:hAnsi="宋体" w:eastAsia="宋体" w:cs="宋体"/>
          <w:b/>
          <w:bCs/>
          <w:color w:val="auto"/>
          <w:sz w:val="24"/>
          <w:szCs w:val="24"/>
          <w:highlight w:val="none"/>
        </w:rPr>
      </w:pPr>
      <w:bookmarkStart w:id="0" w:name="OLE_LINK1"/>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sz w:val="24"/>
          <w:szCs w:val="24"/>
          <w:highlight w:val="none"/>
        </w:rPr>
        <w:t>、合同履行期限</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根据2026年江苏省财政厅分批次下达的南通市区新增地方政府专项债券额度以及对应项目，分批次开展评估工作，每个批次评估工作应在江苏省财政厅印发的债券发行通知要求的完成时限内完成并出具评估报告（根据以往批次发行经验，每批次完成时限在4至7天左右，具体以省财政厅要求为准）。</w:t>
      </w:r>
    </w:p>
    <w:p>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kern w:val="0"/>
          <w:sz w:val="24"/>
          <w:szCs w:val="24"/>
          <w:highlight w:val="none"/>
        </w:rPr>
        <w:t>付款方式</w:t>
      </w:r>
    </w:p>
    <w:p>
      <w:pPr>
        <w:pStyle w:val="6"/>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合同履约结束后，根据采购人考核验收情况支付对应金额；付款前供应商须出具同等金额的正规发票。</w:t>
      </w:r>
    </w:p>
    <w:bookmarkEnd w:id="0"/>
    <w:p>
      <w:pPr>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六、考核办法</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1．在服务期间，可根据项目特点、项目进度对供应商服务实施情况进行分期考核，分期考核结果为项目最终验收的重要依据，供应商应做好相应配合工作。</w:t>
      </w:r>
    </w:p>
    <w:p>
      <w:pPr>
        <w:pStyle w:val="6"/>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2．分期考核内容：包括履约情况、法律审查评估服务质量、管理建议、职业道德、协调机制五个方面。</w:t>
      </w:r>
    </w:p>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分期考核评分表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1637"/>
        <w:gridCol w:w="3576"/>
        <w:gridCol w:w="83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被考核人名称：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分项</w:t>
            </w:r>
          </w:p>
        </w:tc>
        <w:tc>
          <w:tcPr>
            <w:tcW w:w="37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细目</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履约情况（</w:t>
            </w:r>
            <w:r>
              <w:rPr>
                <w:rFonts w:hint="eastAsia" w:ascii="宋体" w:hAnsi="宋体" w:eastAsia="宋体" w:cs="宋体"/>
                <w:bCs/>
                <w:color w:val="auto"/>
                <w:sz w:val="24"/>
                <w:szCs w:val="24"/>
                <w:highlight w:val="none"/>
                <w:lang w:val="en-US" w:eastAsia="zh-CN"/>
              </w:rPr>
              <w:t>26</w:t>
            </w:r>
            <w:r>
              <w:rPr>
                <w:rFonts w:hint="eastAsia" w:ascii="宋体" w:hAnsi="宋体" w:eastAsia="宋体" w:cs="宋体"/>
                <w:bCs/>
                <w:color w:val="auto"/>
                <w:sz w:val="24"/>
                <w:szCs w:val="24"/>
                <w:highlight w:val="none"/>
              </w:rPr>
              <w:t>）</w:t>
            </w:r>
          </w:p>
        </w:tc>
        <w:tc>
          <w:tcPr>
            <w:tcW w:w="1702" w:type="dxa"/>
            <w:tcBorders>
              <w:top w:val="single" w:color="auto" w:sz="4" w:space="0"/>
              <w:left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法律审查评估人员配备（不包括项目负责人）</w:t>
            </w:r>
          </w:p>
        </w:tc>
        <w:tc>
          <w:tcPr>
            <w:tcW w:w="3775" w:type="dxa"/>
            <w:tcBorders>
              <w:top w:val="single" w:color="auto" w:sz="4" w:space="0"/>
              <w:left w:val="single" w:color="auto" w:sz="4" w:space="0"/>
              <w:right w:val="single" w:color="auto" w:sz="4" w:space="0"/>
            </w:tcBorders>
            <w:vAlign w:val="center"/>
          </w:tcPr>
          <w:p>
            <w:pP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法律审查评估人员按照合同要求配备到位，少1人扣5分，扣完为止。</w:t>
            </w:r>
          </w:p>
        </w:tc>
        <w:tc>
          <w:tcPr>
            <w:tcW w:w="85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委托合同执行</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按采购合同条款执行，未经甲方同意的分包行为等情况，违反一项条款扣2分，扣完为止。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按委托单位要求报送资料</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按采购合同条款执行，如发生未在要求交付时间内交付法律审查评估报告的，按延迟日数每日扣减1分，扣完为止。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法律审查评估质量（</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0）</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法律审查评估程序</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未按照法律审查评估规范或投标人提供的法律审查评估方案实施的，发现一项扣1分，扣完为止。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法律审查评估工作底稿</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法律审查评估底稿内容完整、记录清晰、结论明确，证据充分，同时具备纸质与电子底稿；每份底稿丢失、记录不完整的每发现一项扣2分，扣完为止。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法律审查评估报告份数</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未按法律审查评估服务需求出具法律审查评估报告的，每有一份扣5分，超过两份该项不得分。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法律审查评估档案</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法律审查评估档案完整、便于查找的不扣分，法律审查评估档案缺失的该项不得分。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无重大偏差</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法律审查评估结果无重大错误、偏差不扣分，每项指标偏差率超过10%扣1分，扣完为止。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管理建议（4）</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提出管理建议</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项目实施过程中能根据提出符合企业改革发展实际、有针对性、可操作性和指导性的建议。</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职业道德（10）</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无弄虚作假、串通舞弊等情况</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无弄虚作假、串通舞弊等情况不扣分，发现一起该项不得分。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法律审查评估工作客观、公正、坚持原则</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法律审查评估工作流程及法律审查评估结果存在不客观、不公正情况该项不得分。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数据安全及保密工作</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做好数据安全管理工作，保守被法律审查评估单位商业秘密，发现泄密情况该项不得分。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协调机制（10）</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与委托单位</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做好与相关单位法律审查评估工作协调沟通机制，法律审查评估过程中因法律审查评估单位原因与委托单位发生纠纷或口角，情节较轻的扣2分，情节严重的该项不得分。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与被法律审查评估单位</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做好与相关单位法律审查评估工作协调沟通机制，充分交换意见，法律审查评估过程中因法律审查评估单位原因与被法律审查评估单位发生纠纷或口角，情节较轻的扣2分，情节严重的该项不得分。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考核评分</w:t>
            </w:r>
          </w:p>
        </w:tc>
        <w:tc>
          <w:tcPr>
            <w:tcW w:w="7158" w:type="dxa"/>
            <w:gridSpan w:val="4"/>
            <w:tcBorders>
              <w:top w:val="single" w:color="auto" w:sz="4" w:space="0"/>
              <w:left w:val="single" w:color="auto" w:sz="4" w:space="0"/>
              <w:bottom w:val="single" w:color="auto" w:sz="4" w:space="0"/>
              <w:right w:val="single" w:color="auto" w:sz="4" w:space="0"/>
            </w:tcBorders>
            <w:vAlign w:val="center"/>
          </w:tcPr>
          <w:p>
            <w:pPr>
              <w:ind w:firstLine="482" w:firstLineChars="200"/>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备注：在法律审查评估过程中有行贿受贿、徇私枉法，给甲方或被法律审查评估单位造成损失的，发现一次，整个单位考核为0分。</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3．考核评分：由采购人或采购人委托的第三方专业机构对被考核对象进行独立考核得出考核评分。如被考核对象因行贿受贿、徇私枉法等给国家或被审计单位造成损失的，其考核评分为0分。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期考核结果应用：对考核得分≥80分的被考核对象，全额支付法律审查评估服务费；对80分＞考核得分≥60分的被考核对象，扣除20%法律审查评估服务费；对60分＞考核得分≥0分的被考核对象，扣除30%法律审查评估服务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5．项目完成、法律审查评估报告出具后，经采购人确认符合相关规定后，供应商可申请履约验收。采购人原则上应在供应商提出验收申请后10个工作日内组织验收。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成立验收小组，按照采购合同的约定对供应商的履约情况进行验收。验收结束后，验收小组出具验收书，列明各项标准的验收情况及项目总体评价，由验收双方共同签署。验收结果与采购合同约定的资金支付条件挂钩。</w:t>
      </w:r>
    </w:p>
    <w:p>
      <w:pPr>
        <w:snapToGrid w:val="0"/>
        <w:spacing w:line="480" w:lineRule="exact"/>
        <w:ind w:firstLine="480" w:firstLineChars="200"/>
        <w:jc w:val="left"/>
      </w:pPr>
      <w:r>
        <w:rPr>
          <w:rFonts w:hint="eastAsia" w:ascii="宋体" w:hAnsi="宋体" w:eastAsia="宋体" w:cs="宋体"/>
          <w:color w:val="auto"/>
          <w:sz w:val="24"/>
          <w:szCs w:val="24"/>
          <w:highlight w:val="none"/>
        </w:rPr>
        <w:t>7．验收合格的项目，采购人根据采购合同的约定及时向供应商方支付合同款项。验收不合格的项目，采购人依法及时处理。采购合同的履行、违约责任和解决争议的方式等适用《民法典》。供应商在履约过程中有法律法规规定的违法违规情形的，采购人将依法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80A0C"/>
    <w:rsid w:val="009476F7"/>
    <w:rsid w:val="01705C99"/>
    <w:rsid w:val="040826B4"/>
    <w:rsid w:val="04723F17"/>
    <w:rsid w:val="098E7907"/>
    <w:rsid w:val="0A9236AF"/>
    <w:rsid w:val="0C094B75"/>
    <w:rsid w:val="0FC26D88"/>
    <w:rsid w:val="100828AD"/>
    <w:rsid w:val="10C80A0C"/>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3CEA6BE8"/>
    <w:rsid w:val="417032FE"/>
    <w:rsid w:val="46541638"/>
    <w:rsid w:val="467B5DDC"/>
    <w:rsid w:val="4D0B1FFA"/>
    <w:rsid w:val="4E3710B4"/>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2"/>
    <w:basedOn w:val="1"/>
    <w:next w:val="1"/>
    <w:qFormat/>
    <w:uiPriority w:val="0"/>
    <w:pPr>
      <w:keepNext/>
      <w:keepLines/>
      <w:overflowPunct w:val="0"/>
      <w:adjustRightInd w:val="0"/>
      <w:jc w:val="left"/>
      <w:textAlignment w:val="baseline"/>
      <w:outlineLvl w:val="1"/>
    </w:pPr>
    <w:rPr>
      <w:rFonts w:ascii="宋体" w:hAnsi="宋体"/>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paragraph" w:customStyle="1" w:styleId="6">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2026-01-22T07:39:00Z</dcterms:created>
  <dc:creator>L</dc:creator>
  <cp:lastModifiedBy>吴新兴</cp:lastModifiedBy>
  <dcterms:modified xsi:type="dcterms:W3CDTF">2026-01-22T11:01:03Z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DA9F91C436104205BA7176306A21DECA</vt:lpwstr>
  </property>
</Properties>
</file>