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994E3">
      <w:pPr>
        <w:jc w:val="center"/>
        <w:rPr>
          <w:rFonts w:ascii="宋体" w:hAnsi="宋体" w:eastAsia="宋体" w:cs="宋体"/>
          <w:b/>
          <w:sz w:val="30"/>
          <w:szCs w:val="30"/>
        </w:rPr>
      </w:pPr>
      <w:r>
        <w:rPr>
          <w:rFonts w:hint="eastAsia" w:ascii="宋体" w:hAnsi="宋体" w:eastAsia="宋体" w:cs="宋体"/>
          <w:b/>
          <w:sz w:val="30"/>
          <w:szCs w:val="30"/>
        </w:rPr>
        <w:t>南通市轨道交通运营2025年度结算审计、南通市公共交通集团有限公司、南通飞鹤公共交通有限公司2025年度补贴结算专项审计和兴东机场2025年航线培育情况专项审计项目需求</w:t>
      </w:r>
    </w:p>
    <w:p w14:paraId="10DCFDFA">
      <w:pPr>
        <w:adjustRightInd w:val="0"/>
        <w:spacing w:line="360" w:lineRule="auto"/>
        <w:rPr>
          <w:rFonts w:ascii="宋体" w:hAnsi="宋体" w:eastAsia="宋体" w:cs="宋体"/>
          <w:b/>
          <w:bCs/>
          <w:sz w:val="24"/>
        </w:rPr>
      </w:pPr>
    </w:p>
    <w:p w14:paraId="3889412A">
      <w:pPr>
        <w:adjustRightIn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标段一：南通市轨道交通运营2025年度结算审计</w:t>
      </w:r>
    </w:p>
    <w:p w14:paraId="325CC847">
      <w:pPr>
        <w:adjustRightIn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一、服务内容</w:t>
      </w:r>
    </w:p>
    <w:p w14:paraId="61B2F4AB">
      <w:pPr>
        <w:pStyle w:val="7"/>
        <w:snapToGrid w:val="0"/>
        <w:spacing w:line="360" w:lineRule="auto"/>
        <w:ind w:firstLine="480" w:firstLineChars="200"/>
        <w:rPr>
          <w:rFonts w:hint="eastAsia" w:ascii="宋体" w:eastAsia="宋体"/>
          <w:color w:val="000000"/>
          <w:sz w:val="24"/>
          <w:szCs w:val="24"/>
        </w:rPr>
      </w:pPr>
      <w:r>
        <w:rPr>
          <w:rFonts w:hint="eastAsia" w:ascii="宋体" w:eastAsia="宋体"/>
          <w:color w:val="000000"/>
          <w:sz w:val="24"/>
          <w:szCs w:val="24"/>
        </w:rPr>
        <w:t>1.根据暂行办法确认2025年度运营相关收支情况。（1）轨道集团本部、运营分公司、资开子公司的各类收入；（2）轨道集团本部各项支出、还本付息、对外投资等情况；运营分公司人工、能耗、维修、物业及其他成本支出情况。</w:t>
      </w:r>
    </w:p>
    <w:p w14:paraId="120A08E4">
      <w:pPr>
        <w:pStyle w:val="7"/>
        <w:snapToGrid w:val="0"/>
        <w:spacing w:line="360" w:lineRule="auto"/>
        <w:ind w:firstLine="480" w:firstLineChars="200"/>
        <w:rPr>
          <w:rFonts w:hint="eastAsia" w:ascii="宋体" w:eastAsia="宋体"/>
          <w:color w:val="000000"/>
          <w:sz w:val="24"/>
          <w:szCs w:val="24"/>
        </w:rPr>
      </w:pPr>
      <w:r>
        <w:rPr>
          <w:rFonts w:hint="eastAsia" w:ascii="宋体" w:eastAsia="宋体"/>
          <w:color w:val="000000"/>
          <w:sz w:val="24"/>
          <w:szCs w:val="24"/>
        </w:rPr>
        <w:t>2.根据暂行办法确认轨道运营2025年降本增效情况，按核定基数及其口径，确认增收降本金额，并对财政补贴进行结算。</w:t>
      </w:r>
    </w:p>
    <w:p w14:paraId="0D54A542">
      <w:pPr>
        <w:pStyle w:val="7"/>
        <w:snapToGrid w:val="0"/>
        <w:spacing w:line="360" w:lineRule="auto"/>
        <w:ind w:firstLine="480" w:firstLineChars="200"/>
        <w:rPr>
          <w:rFonts w:hint="eastAsia" w:ascii="宋体" w:eastAsia="宋体"/>
          <w:color w:val="000000"/>
          <w:sz w:val="24"/>
          <w:szCs w:val="24"/>
        </w:rPr>
      </w:pPr>
      <w:r>
        <w:rPr>
          <w:rFonts w:hint="eastAsia" w:ascii="宋体" w:eastAsia="宋体"/>
          <w:color w:val="000000"/>
          <w:sz w:val="24"/>
          <w:szCs w:val="24"/>
        </w:rPr>
        <w:t>3.其他财务相关审计事项。（1）内部制度建立及任务分解落实情况；（2）各类房屋资产出租、自用及闲置情况；（3）集团本部融资贷款情况；（4）集团本部及运营分公司往来账款情况；（5）轨道1、2号线建设管理费使用及规范性情况；（6）集团整体纳税规划及建议；（7）采购人提出的其他相关审计事项。</w:t>
      </w:r>
    </w:p>
    <w:p w14:paraId="6AFEB214">
      <w:pPr>
        <w:adjustRightInd w:val="0"/>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二、相关要求</w:t>
      </w:r>
    </w:p>
    <w:p w14:paraId="247D7A72">
      <w:pPr>
        <w:pStyle w:val="7"/>
        <w:snapToGrid w:val="0"/>
        <w:spacing w:line="360" w:lineRule="auto"/>
        <w:ind w:firstLine="480" w:firstLineChars="200"/>
        <w:rPr>
          <w:rFonts w:hint="eastAsia" w:ascii="宋体" w:eastAsia="宋体" w:cs="宋体"/>
          <w:kern w:val="0"/>
          <w:sz w:val="24"/>
          <w:szCs w:val="24"/>
        </w:rPr>
      </w:pPr>
      <w:r>
        <w:rPr>
          <w:rFonts w:hint="eastAsia" w:ascii="宋体" w:eastAsia="宋体"/>
          <w:color w:val="000000"/>
          <w:sz w:val="24"/>
          <w:szCs w:val="24"/>
        </w:rPr>
        <w:t>1.落实专人强化沟通对接，精准掌握审计目标要求，全面了解审计对象情况</w:t>
      </w:r>
      <w:r>
        <w:rPr>
          <w:rFonts w:hint="eastAsia" w:ascii="宋体" w:eastAsia="宋体" w:cs="宋体"/>
          <w:kern w:val="0"/>
          <w:sz w:val="24"/>
          <w:szCs w:val="24"/>
        </w:rPr>
        <w:t>。</w:t>
      </w:r>
    </w:p>
    <w:p w14:paraId="42689ABA">
      <w:pPr>
        <w:pStyle w:val="7"/>
        <w:snapToGrid w:val="0"/>
        <w:spacing w:line="360" w:lineRule="auto"/>
        <w:ind w:firstLine="480" w:firstLineChars="200"/>
        <w:rPr>
          <w:rFonts w:hint="eastAsia" w:ascii="宋体" w:eastAsia="宋体"/>
          <w:color w:val="000000"/>
          <w:sz w:val="24"/>
          <w:szCs w:val="24"/>
        </w:rPr>
      </w:pPr>
      <w:r>
        <w:rPr>
          <w:rFonts w:hint="eastAsia" w:ascii="宋体" w:eastAsia="宋体" w:cs="宋体"/>
          <w:kern w:val="0"/>
          <w:sz w:val="24"/>
          <w:szCs w:val="24"/>
        </w:rPr>
        <w:t>2.</w:t>
      </w:r>
      <w:r>
        <w:rPr>
          <w:rFonts w:hint="eastAsia" w:ascii="宋体" w:eastAsia="宋体"/>
          <w:color w:val="000000"/>
          <w:sz w:val="24"/>
          <w:szCs w:val="24"/>
        </w:rPr>
        <w:t>按照降本增效要求，逐一核算薪酬考核激励资金直接关联的各项收支明细，详细列明增减变化原因，</w:t>
      </w:r>
      <w:r>
        <w:rPr>
          <w:rFonts w:ascii="宋体" w:eastAsia="宋体"/>
          <w:color w:val="000000"/>
          <w:sz w:val="24"/>
          <w:szCs w:val="24"/>
        </w:rPr>
        <w:t>对</w:t>
      </w:r>
      <w:r>
        <w:rPr>
          <w:rFonts w:hint="eastAsia" w:ascii="宋体" w:eastAsia="宋体"/>
          <w:color w:val="000000"/>
          <w:sz w:val="24"/>
          <w:szCs w:val="24"/>
        </w:rPr>
        <w:t>账务处理的合规性</w:t>
      </w:r>
      <w:r>
        <w:rPr>
          <w:rFonts w:ascii="宋体" w:eastAsia="宋体"/>
          <w:color w:val="000000"/>
          <w:sz w:val="24"/>
          <w:szCs w:val="24"/>
        </w:rPr>
        <w:t>进行评判。</w:t>
      </w:r>
    </w:p>
    <w:p w14:paraId="4AFE5819">
      <w:pPr>
        <w:pStyle w:val="7"/>
        <w:snapToGrid w:val="0"/>
        <w:spacing w:line="360" w:lineRule="auto"/>
        <w:ind w:firstLine="480" w:firstLineChars="200"/>
        <w:rPr>
          <w:rFonts w:hint="eastAsia" w:ascii="宋体" w:eastAsia="宋体"/>
          <w:color w:val="000000"/>
          <w:sz w:val="24"/>
          <w:szCs w:val="24"/>
        </w:rPr>
      </w:pPr>
      <w:r>
        <w:rPr>
          <w:rFonts w:hint="eastAsia" w:ascii="宋体" w:eastAsia="宋体"/>
          <w:color w:val="000000"/>
          <w:sz w:val="24"/>
          <w:szCs w:val="24"/>
        </w:rPr>
        <w:t>3.审计报告要求</w:t>
      </w:r>
      <w:r>
        <w:rPr>
          <w:rFonts w:ascii="宋体" w:eastAsia="宋体"/>
          <w:color w:val="000000"/>
          <w:sz w:val="24"/>
          <w:szCs w:val="24"/>
        </w:rPr>
        <w:t>逻辑清晰、内容完整、依据充分、数据详实</w:t>
      </w:r>
      <w:r>
        <w:rPr>
          <w:rFonts w:hint="eastAsia" w:ascii="宋体" w:eastAsia="宋体"/>
          <w:color w:val="000000"/>
          <w:sz w:val="24"/>
          <w:szCs w:val="24"/>
        </w:rPr>
        <w:t>、</w:t>
      </w:r>
      <w:r>
        <w:rPr>
          <w:rFonts w:ascii="宋体" w:eastAsia="宋体"/>
          <w:color w:val="000000"/>
          <w:sz w:val="24"/>
          <w:szCs w:val="24"/>
        </w:rPr>
        <w:t>结论准确</w:t>
      </w:r>
      <w:r>
        <w:rPr>
          <w:rFonts w:hint="eastAsia" w:ascii="宋体" w:eastAsia="宋体"/>
          <w:color w:val="000000"/>
          <w:sz w:val="24"/>
          <w:szCs w:val="24"/>
        </w:rPr>
        <w:t>，</w:t>
      </w:r>
      <w:r>
        <w:rPr>
          <w:rFonts w:ascii="宋体" w:eastAsia="宋体"/>
          <w:color w:val="000000"/>
          <w:sz w:val="24"/>
          <w:szCs w:val="24"/>
        </w:rPr>
        <w:t>分析</w:t>
      </w:r>
      <w:r>
        <w:rPr>
          <w:rFonts w:hint="eastAsia" w:ascii="宋体" w:eastAsia="宋体"/>
          <w:color w:val="000000"/>
          <w:sz w:val="24"/>
          <w:szCs w:val="24"/>
        </w:rPr>
        <w:t>问题要求深入</w:t>
      </w:r>
      <w:r>
        <w:rPr>
          <w:rFonts w:ascii="宋体" w:eastAsia="宋体"/>
          <w:color w:val="000000"/>
          <w:sz w:val="24"/>
          <w:szCs w:val="24"/>
        </w:rPr>
        <w:t>透彻</w:t>
      </w:r>
      <w:r>
        <w:rPr>
          <w:rFonts w:hint="eastAsia" w:ascii="宋体" w:eastAsia="宋体"/>
          <w:color w:val="000000"/>
          <w:sz w:val="24"/>
          <w:szCs w:val="24"/>
        </w:rPr>
        <w:t>，</w:t>
      </w:r>
      <w:r>
        <w:rPr>
          <w:rFonts w:ascii="宋体" w:eastAsia="宋体"/>
          <w:color w:val="000000"/>
          <w:sz w:val="24"/>
          <w:szCs w:val="24"/>
        </w:rPr>
        <w:t>建议</w:t>
      </w:r>
      <w:r>
        <w:rPr>
          <w:rFonts w:hint="eastAsia" w:ascii="宋体" w:eastAsia="宋体"/>
          <w:color w:val="000000"/>
          <w:sz w:val="24"/>
          <w:szCs w:val="24"/>
        </w:rPr>
        <w:t>意见要求专业</w:t>
      </w:r>
      <w:r>
        <w:rPr>
          <w:rFonts w:ascii="宋体" w:eastAsia="宋体"/>
          <w:color w:val="000000"/>
          <w:sz w:val="24"/>
          <w:szCs w:val="24"/>
        </w:rPr>
        <w:t>可行。</w:t>
      </w:r>
    </w:p>
    <w:p w14:paraId="2BFF5BA0">
      <w:pPr>
        <w:adjustRightIn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三、合同履行期限</w:t>
      </w:r>
    </w:p>
    <w:p w14:paraId="695BDEB4">
      <w:pPr>
        <w:pStyle w:val="7"/>
        <w:snapToGrid w:val="0"/>
        <w:spacing w:line="360" w:lineRule="auto"/>
        <w:ind w:firstLine="480" w:firstLineChars="200"/>
        <w:rPr>
          <w:rFonts w:hint="eastAsia" w:ascii="宋体" w:eastAsia="宋体" w:cs="宋体"/>
          <w:kern w:val="0"/>
          <w:sz w:val="24"/>
          <w:szCs w:val="24"/>
        </w:rPr>
      </w:pPr>
      <w:r>
        <w:rPr>
          <w:rFonts w:hint="eastAsia" w:ascii="宋体" w:eastAsia="宋体" w:cs="宋体"/>
          <w:kern w:val="0"/>
          <w:sz w:val="24"/>
          <w:szCs w:val="24"/>
        </w:rPr>
        <w:t>自合同签订之日起</w:t>
      </w:r>
      <w:r>
        <w:rPr>
          <w:rFonts w:hint="eastAsia" w:ascii="宋体" w:eastAsia="宋体"/>
          <w:color w:val="000000"/>
          <w:sz w:val="24"/>
          <w:szCs w:val="24"/>
        </w:rPr>
        <w:t>进驻审计对象28天内</w:t>
      </w:r>
      <w:r>
        <w:rPr>
          <w:rFonts w:hint="eastAsia" w:ascii="宋体" w:eastAsia="宋体" w:cs="宋体"/>
          <w:kern w:val="0"/>
          <w:sz w:val="24"/>
          <w:szCs w:val="24"/>
        </w:rPr>
        <w:t>。</w:t>
      </w:r>
    </w:p>
    <w:p w14:paraId="2FB4BE33">
      <w:pPr>
        <w:adjustRightIn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w:t>
      </w:r>
      <w:r>
        <w:rPr>
          <w:rFonts w:hint="eastAsia" w:ascii="宋体" w:hAnsi="宋体" w:eastAsia="宋体" w:cs="宋体"/>
          <w:b/>
          <w:bCs/>
          <w:kern w:val="0"/>
          <w:sz w:val="24"/>
          <w:szCs w:val="24"/>
        </w:rPr>
        <w:t>付款方式</w:t>
      </w:r>
    </w:p>
    <w:p w14:paraId="783CAA8E">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付款条件：项目审计服务完成且审计报告经确认符合相关规定后，采购人根据采购合同并结合分期考核、项目验收结果核定服务费，中选供应商须向采购人提供等额的发票。若中选供应商未按合同约定及时提供发票，采购人有权拒绝付款，延迟付款责任由中选供应商自行承担。</w:t>
      </w:r>
    </w:p>
    <w:p w14:paraId="5C1A7977">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2、付款方式：采购人在收到发票30个工作日内支付服务费。</w:t>
      </w:r>
    </w:p>
    <w:p w14:paraId="4E5896D4">
      <w:pPr>
        <w:pStyle w:val="8"/>
        <w:ind w:firstLine="480"/>
      </w:pPr>
    </w:p>
    <w:p w14:paraId="6D244BF6">
      <w:pPr>
        <w:adjustRightIn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标段二：南通市公共交通集团有限公司、南通飞鹤公共交通有限公司2025年度补贴结算情况专项审计</w:t>
      </w:r>
    </w:p>
    <w:p w14:paraId="1A57CB2B">
      <w:pPr>
        <w:adjustRightIn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一、服务内容</w:t>
      </w:r>
    </w:p>
    <w:p w14:paraId="2AF50814">
      <w:pPr>
        <w:pStyle w:val="7"/>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1.根据暂行办法确认市公交公司、市飞鹤公交公司2025年度经营及收支情况。（1）公交主营业务的运营及收支情况；（2）惠民巴士和张家港班线的运营及收支情况；（3）按全生命周期管理、全成本核算原则审核包车等辅业业务的生产经营及盈亏情况。</w:t>
      </w:r>
    </w:p>
    <w:p w14:paraId="280173D9">
      <w:pPr>
        <w:pStyle w:val="7"/>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2.根据暂行办法确认公交运营2025年降本增效情况，按核定基数及其口径，确认增收降本金额，并对财政补贴进行结算。</w:t>
      </w:r>
    </w:p>
    <w:p w14:paraId="06AAB10F">
      <w:pPr>
        <w:pStyle w:val="7"/>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3.其他财务相关审计事项。（1）内部制度建立及任务分解落实情况；（2）各类房屋资产出租、自用及闲置情况；（3）企业融资贷款情况；（4）采购人提出的其他相关审计事项。</w:t>
      </w:r>
    </w:p>
    <w:p w14:paraId="1D3F41FE">
      <w:pPr>
        <w:adjustRightInd w:val="0"/>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二、相关要求</w:t>
      </w:r>
    </w:p>
    <w:p w14:paraId="4DAC1EC1">
      <w:pPr>
        <w:pStyle w:val="7"/>
        <w:snapToGrid w:val="0"/>
        <w:spacing w:line="360" w:lineRule="auto"/>
        <w:ind w:firstLine="480" w:firstLineChars="200"/>
        <w:rPr>
          <w:rFonts w:hint="eastAsia" w:ascii="宋体" w:eastAsia="宋体" w:cs="宋体"/>
          <w:kern w:val="0"/>
          <w:sz w:val="24"/>
          <w:szCs w:val="24"/>
        </w:rPr>
      </w:pPr>
      <w:r>
        <w:rPr>
          <w:rFonts w:hint="eastAsia" w:ascii="宋体" w:eastAsia="宋体"/>
          <w:color w:val="000000"/>
          <w:sz w:val="24"/>
          <w:szCs w:val="24"/>
        </w:rPr>
        <w:t>1.落实专人强化沟通对接，精准掌握审计目标要求，全面了解审计对象情况</w:t>
      </w:r>
      <w:r>
        <w:rPr>
          <w:rFonts w:hint="eastAsia" w:ascii="宋体" w:eastAsia="宋体" w:cs="宋体"/>
          <w:kern w:val="0"/>
          <w:sz w:val="24"/>
          <w:szCs w:val="24"/>
        </w:rPr>
        <w:t>。</w:t>
      </w:r>
    </w:p>
    <w:p w14:paraId="1CF7AEF1">
      <w:pPr>
        <w:pStyle w:val="7"/>
        <w:snapToGrid w:val="0"/>
        <w:spacing w:line="360" w:lineRule="auto"/>
        <w:ind w:firstLine="480" w:firstLineChars="200"/>
        <w:rPr>
          <w:rFonts w:hint="eastAsia" w:ascii="宋体" w:eastAsia="宋体"/>
          <w:color w:val="000000"/>
          <w:sz w:val="24"/>
          <w:szCs w:val="24"/>
        </w:rPr>
      </w:pPr>
      <w:r>
        <w:rPr>
          <w:rFonts w:hint="eastAsia" w:ascii="宋体" w:eastAsia="宋体" w:cs="宋体"/>
          <w:kern w:val="0"/>
          <w:sz w:val="24"/>
          <w:szCs w:val="24"/>
        </w:rPr>
        <w:t>2.</w:t>
      </w:r>
      <w:r>
        <w:rPr>
          <w:rFonts w:hint="eastAsia" w:ascii="宋体" w:eastAsia="宋体"/>
          <w:color w:val="000000"/>
          <w:sz w:val="24"/>
          <w:szCs w:val="24"/>
        </w:rPr>
        <w:t>按照降本增效要求，逐一核算车辆、人工以及薪酬考核激励资金直接关联的各项收支明细，详细列明增减变化原因，</w:t>
      </w:r>
      <w:r>
        <w:rPr>
          <w:rFonts w:ascii="宋体" w:eastAsia="宋体"/>
          <w:color w:val="000000"/>
          <w:sz w:val="24"/>
          <w:szCs w:val="24"/>
        </w:rPr>
        <w:t>对</w:t>
      </w:r>
      <w:r>
        <w:rPr>
          <w:rFonts w:hint="eastAsia" w:ascii="宋体" w:eastAsia="宋体"/>
          <w:color w:val="000000"/>
          <w:sz w:val="24"/>
          <w:szCs w:val="24"/>
        </w:rPr>
        <w:t>账务处理的合规性</w:t>
      </w:r>
      <w:r>
        <w:rPr>
          <w:rFonts w:ascii="宋体" w:eastAsia="宋体"/>
          <w:color w:val="000000"/>
          <w:sz w:val="24"/>
          <w:szCs w:val="24"/>
        </w:rPr>
        <w:t>进行评判。</w:t>
      </w:r>
    </w:p>
    <w:p w14:paraId="1B443673">
      <w:pPr>
        <w:pStyle w:val="7"/>
        <w:snapToGrid w:val="0"/>
        <w:spacing w:line="360" w:lineRule="auto"/>
        <w:ind w:firstLine="480" w:firstLineChars="200"/>
        <w:rPr>
          <w:rFonts w:hint="eastAsia" w:ascii="宋体" w:eastAsia="宋体"/>
          <w:color w:val="000000"/>
          <w:sz w:val="24"/>
          <w:szCs w:val="24"/>
        </w:rPr>
      </w:pPr>
      <w:r>
        <w:rPr>
          <w:rFonts w:hint="eastAsia" w:ascii="宋体" w:eastAsia="宋体"/>
          <w:color w:val="000000"/>
          <w:sz w:val="24"/>
          <w:szCs w:val="24"/>
        </w:rPr>
        <w:t>3.审计报告要求</w:t>
      </w:r>
      <w:r>
        <w:rPr>
          <w:rFonts w:ascii="宋体" w:eastAsia="宋体"/>
          <w:color w:val="000000"/>
          <w:sz w:val="24"/>
          <w:szCs w:val="24"/>
        </w:rPr>
        <w:t>逻辑清晰、内容完整、依据充分、数据详实</w:t>
      </w:r>
      <w:r>
        <w:rPr>
          <w:rFonts w:hint="eastAsia" w:ascii="宋体" w:eastAsia="宋体"/>
          <w:color w:val="000000"/>
          <w:sz w:val="24"/>
          <w:szCs w:val="24"/>
        </w:rPr>
        <w:t>、</w:t>
      </w:r>
      <w:r>
        <w:rPr>
          <w:rFonts w:ascii="宋体" w:eastAsia="宋体"/>
          <w:color w:val="000000"/>
          <w:sz w:val="24"/>
          <w:szCs w:val="24"/>
        </w:rPr>
        <w:t>结论准确</w:t>
      </w:r>
      <w:r>
        <w:rPr>
          <w:rFonts w:hint="eastAsia" w:ascii="宋体" w:eastAsia="宋体"/>
          <w:color w:val="000000"/>
          <w:sz w:val="24"/>
          <w:szCs w:val="24"/>
        </w:rPr>
        <w:t>，</w:t>
      </w:r>
      <w:r>
        <w:rPr>
          <w:rFonts w:ascii="宋体" w:eastAsia="宋体"/>
          <w:color w:val="000000"/>
          <w:sz w:val="24"/>
          <w:szCs w:val="24"/>
        </w:rPr>
        <w:t>分析</w:t>
      </w:r>
      <w:r>
        <w:rPr>
          <w:rFonts w:hint="eastAsia" w:ascii="宋体" w:eastAsia="宋体"/>
          <w:color w:val="000000"/>
          <w:sz w:val="24"/>
          <w:szCs w:val="24"/>
        </w:rPr>
        <w:t>问题要求深入</w:t>
      </w:r>
      <w:r>
        <w:rPr>
          <w:rFonts w:ascii="宋体" w:eastAsia="宋体"/>
          <w:color w:val="000000"/>
          <w:sz w:val="24"/>
          <w:szCs w:val="24"/>
        </w:rPr>
        <w:t>透彻</w:t>
      </w:r>
      <w:r>
        <w:rPr>
          <w:rFonts w:hint="eastAsia" w:ascii="宋体" w:eastAsia="宋体"/>
          <w:color w:val="000000"/>
          <w:sz w:val="24"/>
          <w:szCs w:val="24"/>
        </w:rPr>
        <w:t>，</w:t>
      </w:r>
      <w:r>
        <w:rPr>
          <w:rFonts w:ascii="宋体" w:eastAsia="宋体"/>
          <w:color w:val="000000"/>
          <w:sz w:val="24"/>
          <w:szCs w:val="24"/>
        </w:rPr>
        <w:t>建议</w:t>
      </w:r>
      <w:r>
        <w:rPr>
          <w:rFonts w:hint="eastAsia" w:ascii="宋体" w:eastAsia="宋体"/>
          <w:color w:val="000000"/>
          <w:sz w:val="24"/>
          <w:szCs w:val="24"/>
        </w:rPr>
        <w:t>意见要求专业</w:t>
      </w:r>
      <w:r>
        <w:rPr>
          <w:rFonts w:ascii="宋体" w:eastAsia="宋体"/>
          <w:color w:val="000000"/>
          <w:sz w:val="24"/>
          <w:szCs w:val="24"/>
        </w:rPr>
        <w:t>可行。</w:t>
      </w:r>
    </w:p>
    <w:p w14:paraId="3FB0CB95">
      <w:pPr>
        <w:adjustRightInd w:val="0"/>
        <w:spacing w:line="360" w:lineRule="auto"/>
        <w:ind w:firstLine="482" w:firstLineChars="200"/>
        <w:rPr>
          <w:rFonts w:hint="eastAsia" w:ascii="宋体" w:hAnsi="宋体" w:eastAsia="宋体" w:cs="宋体"/>
          <w:b/>
          <w:bCs/>
          <w:sz w:val="24"/>
          <w:szCs w:val="24"/>
        </w:rPr>
      </w:pPr>
      <w:bookmarkStart w:id="0" w:name="OLE_LINK1"/>
      <w:r>
        <w:rPr>
          <w:rFonts w:hint="eastAsia" w:ascii="宋体" w:hAnsi="宋体" w:eastAsia="宋体" w:cs="宋体"/>
          <w:b/>
          <w:bCs/>
          <w:sz w:val="24"/>
          <w:szCs w:val="24"/>
        </w:rPr>
        <w:t>三、合同履行期限</w:t>
      </w:r>
    </w:p>
    <w:p w14:paraId="1A3717E6">
      <w:pPr>
        <w:pStyle w:val="7"/>
        <w:snapToGrid w:val="0"/>
        <w:spacing w:line="360" w:lineRule="auto"/>
        <w:ind w:firstLine="480" w:firstLineChars="200"/>
        <w:rPr>
          <w:rFonts w:hint="eastAsia" w:ascii="宋体" w:eastAsia="宋体" w:cs="宋体"/>
          <w:kern w:val="0"/>
          <w:sz w:val="24"/>
          <w:szCs w:val="24"/>
        </w:rPr>
      </w:pPr>
      <w:r>
        <w:rPr>
          <w:rFonts w:hint="eastAsia" w:ascii="宋体" w:eastAsia="宋体" w:cs="宋体"/>
          <w:kern w:val="0"/>
          <w:sz w:val="24"/>
          <w:szCs w:val="24"/>
        </w:rPr>
        <w:t>自合同签订之日起</w:t>
      </w:r>
      <w:r>
        <w:rPr>
          <w:rFonts w:hint="eastAsia" w:ascii="宋体" w:eastAsia="宋体"/>
          <w:color w:val="000000"/>
          <w:sz w:val="24"/>
          <w:szCs w:val="24"/>
        </w:rPr>
        <w:t>进驻审计对象28天内</w:t>
      </w:r>
      <w:r>
        <w:rPr>
          <w:rFonts w:hint="eastAsia" w:ascii="宋体" w:eastAsia="宋体" w:cs="宋体"/>
          <w:kern w:val="0"/>
          <w:sz w:val="24"/>
          <w:szCs w:val="24"/>
        </w:rPr>
        <w:t>。</w:t>
      </w:r>
    </w:p>
    <w:p w14:paraId="5E87B8C9">
      <w:pPr>
        <w:adjustRightIn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w:t>
      </w:r>
      <w:r>
        <w:rPr>
          <w:rFonts w:hint="eastAsia" w:ascii="宋体" w:hAnsi="宋体" w:eastAsia="宋体" w:cs="宋体"/>
          <w:b/>
          <w:bCs/>
          <w:kern w:val="0"/>
          <w:sz w:val="24"/>
          <w:szCs w:val="24"/>
        </w:rPr>
        <w:t>付款方式</w:t>
      </w:r>
    </w:p>
    <w:p w14:paraId="7521F2FB">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付款条件：项目审计服务完成且审计报告经确认符合相关规定后，采购人根据采购合同并结合分期考核、项目验收结果核定服务费，中选供应商须向采购人提供等额的发票。若中选供应商未按合同约定及时提供发票，采购人有权拒绝付款，延迟付款责任由中选供应商自行承担。</w:t>
      </w:r>
    </w:p>
    <w:p w14:paraId="0F4DFBDC">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2、付款方式：采购人在收到发票30个工作日内支付服务费。</w:t>
      </w:r>
    </w:p>
    <w:bookmarkEnd w:id="0"/>
    <w:p w14:paraId="4022B181">
      <w:pPr>
        <w:adjustRightInd w:val="0"/>
        <w:spacing w:line="360" w:lineRule="auto"/>
        <w:rPr>
          <w:rFonts w:hint="eastAsia" w:ascii="宋体" w:hAnsi="宋体" w:eastAsia="宋体" w:cs="宋体"/>
          <w:b/>
          <w:bCs/>
          <w:sz w:val="24"/>
          <w:szCs w:val="24"/>
        </w:rPr>
      </w:pPr>
    </w:p>
    <w:p w14:paraId="443EAE67">
      <w:pPr>
        <w:adjustRightIn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标段三：兴东机场2025年航线培育情况专项审计</w:t>
      </w:r>
    </w:p>
    <w:p w14:paraId="33F6E79A">
      <w:pPr>
        <w:adjustRightInd w:val="0"/>
        <w:snapToGrid w:val="0"/>
        <w:spacing w:line="360" w:lineRule="auto"/>
        <w:ind w:firstLine="482" w:firstLineChars="200"/>
        <w:rPr>
          <w:rFonts w:cs="宋体"/>
          <w:kern w:val="0"/>
        </w:rPr>
      </w:pPr>
      <w:r>
        <w:rPr>
          <w:rFonts w:hint="eastAsia" w:ascii="宋体" w:hAnsi="宋体" w:eastAsia="宋体" w:cs="宋体"/>
          <w:b/>
          <w:bCs/>
          <w:sz w:val="24"/>
          <w:szCs w:val="24"/>
        </w:rPr>
        <w:t>一、服务内容</w:t>
      </w:r>
    </w:p>
    <w:p w14:paraId="3A9F8F75">
      <w:pPr>
        <w:pStyle w:val="7"/>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1.分析2025年度机场集团合并生产经营及财务情况，查摆收支增减原因。（1）营业收入和营业成本各项明细及主要增减变化原因分析；（2）资产负债和权益情况；（3）融资情况；（4）京东货航投资及生产经营情况。</w:t>
      </w:r>
    </w:p>
    <w:p w14:paraId="2E24B2C0">
      <w:pPr>
        <w:pStyle w:val="7"/>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2.根据客运航线培育办法，审核确认2025年市财政应兑现的客运航线补贴额。包括每条客运航线执行班次、旅客吞吐量、腹舱货邮吞吐量、补贴金额等。</w:t>
      </w:r>
    </w:p>
    <w:p w14:paraId="7CD49575">
      <w:pPr>
        <w:pStyle w:val="7"/>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3.根据货运航线培育办法，审核确认相应期间市财政应兑现的货运航线奖励额。包括每条补贴全货机航线的执飞班次、进出港货邮吞吐量、年实载率、奖补明细等，2023～2025年每条自营全货机航线的执飞班次、进出港货邮吞吐量、年实载率情况。</w:t>
      </w:r>
    </w:p>
    <w:p w14:paraId="251FCD17">
      <w:pPr>
        <w:pStyle w:val="7"/>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4.结合全省旅客和货邮吞吐量增减变化情况，分别分析机场集团在客、货运航线开拓和效益提升的具体举措、取得成效和存在问题，对航线培育政策和具体措施提出合理建议。</w:t>
      </w:r>
    </w:p>
    <w:p w14:paraId="1D632741">
      <w:pPr>
        <w:pStyle w:val="7"/>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5.采购人提出的其他相关审计事项。</w:t>
      </w:r>
    </w:p>
    <w:p w14:paraId="6CF60075">
      <w:pPr>
        <w:adjustRightInd w:val="0"/>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二、相关要求</w:t>
      </w:r>
    </w:p>
    <w:p w14:paraId="1BFDEC75">
      <w:pPr>
        <w:pStyle w:val="7"/>
        <w:snapToGrid w:val="0"/>
        <w:spacing w:line="360" w:lineRule="auto"/>
        <w:ind w:firstLine="480" w:firstLineChars="200"/>
        <w:rPr>
          <w:rFonts w:hint="eastAsia" w:ascii="宋体" w:eastAsia="宋体" w:cs="宋体"/>
          <w:kern w:val="0"/>
          <w:sz w:val="24"/>
          <w:szCs w:val="24"/>
        </w:rPr>
      </w:pPr>
      <w:r>
        <w:rPr>
          <w:rFonts w:hint="eastAsia" w:ascii="宋体" w:eastAsia="宋体"/>
          <w:color w:val="000000"/>
          <w:sz w:val="24"/>
          <w:szCs w:val="24"/>
        </w:rPr>
        <w:t>1.落实专人强化沟通对接，精准掌握审计目标要求，全面了解审计对象情况</w:t>
      </w:r>
      <w:r>
        <w:rPr>
          <w:rFonts w:hint="eastAsia" w:ascii="宋体" w:eastAsia="宋体" w:cs="宋体"/>
          <w:kern w:val="0"/>
          <w:sz w:val="24"/>
          <w:szCs w:val="24"/>
        </w:rPr>
        <w:t>。</w:t>
      </w:r>
    </w:p>
    <w:p w14:paraId="154C0D59">
      <w:pPr>
        <w:pStyle w:val="7"/>
        <w:snapToGrid w:val="0"/>
        <w:spacing w:line="360" w:lineRule="auto"/>
        <w:ind w:firstLine="480" w:firstLineChars="200"/>
        <w:rPr>
          <w:rFonts w:hint="eastAsia" w:ascii="宋体" w:eastAsia="宋体"/>
          <w:color w:val="000000"/>
          <w:sz w:val="24"/>
          <w:szCs w:val="24"/>
        </w:rPr>
      </w:pPr>
      <w:r>
        <w:rPr>
          <w:rFonts w:hint="eastAsia" w:ascii="宋体" w:eastAsia="宋体" w:cs="宋体"/>
          <w:kern w:val="0"/>
          <w:sz w:val="24"/>
          <w:szCs w:val="24"/>
        </w:rPr>
        <w:t>2.</w:t>
      </w:r>
      <w:r>
        <w:rPr>
          <w:rFonts w:ascii="宋体" w:eastAsia="宋体"/>
          <w:color w:val="000000"/>
          <w:sz w:val="24"/>
          <w:szCs w:val="24"/>
        </w:rPr>
        <w:t>采用科学的方式方法，对</w:t>
      </w:r>
      <w:r>
        <w:rPr>
          <w:rFonts w:hint="eastAsia" w:ascii="宋体" w:eastAsia="宋体"/>
          <w:color w:val="000000"/>
          <w:sz w:val="24"/>
          <w:szCs w:val="24"/>
        </w:rPr>
        <w:t>成本性支出和航线补贴支出的规范性、合理性以及补贴</w:t>
      </w:r>
      <w:r>
        <w:rPr>
          <w:rFonts w:ascii="宋体" w:eastAsia="宋体"/>
          <w:color w:val="000000"/>
          <w:sz w:val="24"/>
          <w:szCs w:val="24"/>
        </w:rPr>
        <w:t>政策的必要性、</w:t>
      </w:r>
      <w:r>
        <w:rPr>
          <w:rFonts w:hint="eastAsia" w:ascii="宋体" w:eastAsia="宋体"/>
          <w:color w:val="000000"/>
          <w:sz w:val="24"/>
          <w:szCs w:val="24"/>
        </w:rPr>
        <w:t>效益性，</w:t>
      </w:r>
      <w:r>
        <w:rPr>
          <w:rFonts w:ascii="宋体" w:eastAsia="宋体"/>
          <w:color w:val="000000"/>
          <w:sz w:val="24"/>
          <w:szCs w:val="24"/>
        </w:rPr>
        <w:t>进行客观</w:t>
      </w:r>
      <w:r>
        <w:rPr>
          <w:rFonts w:hint="eastAsia" w:ascii="宋体" w:eastAsia="宋体"/>
          <w:color w:val="000000"/>
          <w:sz w:val="24"/>
          <w:szCs w:val="24"/>
        </w:rPr>
        <w:t>、公正、</w:t>
      </w:r>
      <w:r>
        <w:rPr>
          <w:rFonts w:ascii="宋体" w:eastAsia="宋体"/>
          <w:color w:val="000000"/>
          <w:sz w:val="24"/>
          <w:szCs w:val="24"/>
        </w:rPr>
        <w:t>综合评判。</w:t>
      </w:r>
    </w:p>
    <w:p w14:paraId="76E75DDA">
      <w:pPr>
        <w:pStyle w:val="7"/>
        <w:snapToGrid w:val="0"/>
        <w:spacing w:line="360" w:lineRule="auto"/>
        <w:ind w:firstLine="480" w:firstLineChars="200"/>
        <w:rPr>
          <w:rFonts w:hint="eastAsia" w:ascii="宋体" w:eastAsia="宋体"/>
          <w:color w:val="000000"/>
          <w:sz w:val="24"/>
          <w:szCs w:val="24"/>
        </w:rPr>
      </w:pPr>
      <w:r>
        <w:rPr>
          <w:rFonts w:hint="eastAsia" w:ascii="宋体" w:eastAsia="宋体"/>
          <w:color w:val="000000"/>
          <w:sz w:val="24"/>
          <w:szCs w:val="24"/>
        </w:rPr>
        <w:t>3.审计报告要求</w:t>
      </w:r>
      <w:r>
        <w:rPr>
          <w:rFonts w:ascii="宋体" w:eastAsia="宋体"/>
          <w:color w:val="000000"/>
          <w:sz w:val="24"/>
          <w:szCs w:val="24"/>
        </w:rPr>
        <w:t>逻辑清晰、内容完整、依据充分、数据详实</w:t>
      </w:r>
      <w:r>
        <w:rPr>
          <w:rFonts w:hint="eastAsia" w:ascii="宋体" w:eastAsia="宋体"/>
          <w:color w:val="000000"/>
          <w:sz w:val="24"/>
          <w:szCs w:val="24"/>
        </w:rPr>
        <w:t>、</w:t>
      </w:r>
      <w:r>
        <w:rPr>
          <w:rFonts w:ascii="宋体" w:eastAsia="宋体"/>
          <w:color w:val="000000"/>
          <w:sz w:val="24"/>
          <w:szCs w:val="24"/>
        </w:rPr>
        <w:t>结论准确</w:t>
      </w:r>
      <w:r>
        <w:rPr>
          <w:rFonts w:hint="eastAsia" w:ascii="宋体" w:eastAsia="宋体"/>
          <w:color w:val="000000"/>
          <w:sz w:val="24"/>
          <w:szCs w:val="24"/>
        </w:rPr>
        <w:t>，</w:t>
      </w:r>
      <w:r>
        <w:rPr>
          <w:rFonts w:ascii="宋体" w:eastAsia="宋体"/>
          <w:color w:val="000000"/>
          <w:sz w:val="24"/>
          <w:szCs w:val="24"/>
        </w:rPr>
        <w:t>分析</w:t>
      </w:r>
      <w:r>
        <w:rPr>
          <w:rFonts w:hint="eastAsia" w:ascii="宋体" w:eastAsia="宋体"/>
          <w:color w:val="000000"/>
          <w:sz w:val="24"/>
          <w:szCs w:val="24"/>
        </w:rPr>
        <w:t>问题要求深入</w:t>
      </w:r>
      <w:r>
        <w:rPr>
          <w:rFonts w:ascii="宋体" w:eastAsia="宋体"/>
          <w:color w:val="000000"/>
          <w:sz w:val="24"/>
          <w:szCs w:val="24"/>
        </w:rPr>
        <w:t>透彻</w:t>
      </w:r>
      <w:r>
        <w:rPr>
          <w:rFonts w:hint="eastAsia" w:ascii="宋体" w:eastAsia="宋体"/>
          <w:color w:val="000000"/>
          <w:sz w:val="24"/>
          <w:szCs w:val="24"/>
        </w:rPr>
        <w:t>，</w:t>
      </w:r>
      <w:r>
        <w:rPr>
          <w:rFonts w:ascii="宋体" w:eastAsia="宋体"/>
          <w:color w:val="000000"/>
          <w:sz w:val="24"/>
          <w:szCs w:val="24"/>
        </w:rPr>
        <w:t>建议</w:t>
      </w:r>
      <w:r>
        <w:rPr>
          <w:rFonts w:hint="eastAsia" w:ascii="宋体" w:eastAsia="宋体"/>
          <w:color w:val="000000"/>
          <w:sz w:val="24"/>
          <w:szCs w:val="24"/>
        </w:rPr>
        <w:t>意见要求专业</w:t>
      </w:r>
      <w:r>
        <w:rPr>
          <w:rFonts w:ascii="宋体" w:eastAsia="宋体"/>
          <w:color w:val="000000"/>
          <w:sz w:val="24"/>
          <w:szCs w:val="24"/>
        </w:rPr>
        <w:t>可行。</w:t>
      </w:r>
    </w:p>
    <w:p w14:paraId="79E18320">
      <w:pPr>
        <w:adjustRightIn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三、合同履行期限</w:t>
      </w:r>
    </w:p>
    <w:p w14:paraId="3E43073F">
      <w:pPr>
        <w:pStyle w:val="7"/>
        <w:snapToGrid w:val="0"/>
        <w:spacing w:line="360" w:lineRule="auto"/>
        <w:ind w:firstLine="480" w:firstLineChars="200"/>
        <w:rPr>
          <w:rFonts w:hint="eastAsia" w:ascii="宋体" w:eastAsia="宋体" w:cs="宋体"/>
          <w:kern w:val="0"/>
          <w:sz w:val="24"/>
          <w:szCs w:val="24"/>
        </w:rPr>
      </w:pPr>
      <w:r>
        <w:rPr>
          <w:rFonts w:hint="eastAsia" w:ascii="宋体" w:eastAsia="宋体" w:cs="宋体"/>
          <w:kern w:val="0"/>
          <w:sz w:val="24"/>
          <w:szCs w:val="24"/>
        </w:rPr>
        <w:t>自合同签订之日起</w:t>
      </w:r>
      <w:r>
        <w:rPr>
          <w:rFonts w:hint="eastAsia" w:ascii="宋体" w:eastAsia="宋体"/>
          <w:color w:val="000000"/>
          <w:sz w:val="24"/>
          <w:szCs w:val="24"/>
        </w:rPr>
        <w:t>进驻审计对象28天内</w:t>
      </w:r>
      <w:r>
        <w:rPr>
          <w:rFonts w:hint="eastAsia" w:ascii="宋体" w:eastAsia="宋体" w:cs="宋体"/>
          <w:kern w:val="0"/>
          <w:sz w:val="24"/>
          <w:szCs w:val="24"/>
        </w:rPr>
        <w:t>。</w:t>
      </w:r>
    </w:p>
    <w:p w14:paraId="48BE2048">
      <w:pPr>
        <w:adjustRightIn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w:t>
      </w:r>
      <w:r>
        <w:rPr>
          <w:rFonts w:hint="eastAsia" w:ascii="宋体" w:hAnsi="宋体" w:eastAsia="宋体" w:cs="宋体"/>
          <w:b/>
          <w:bCs/>
          <w:kern w:val="0"/>
          <w:sz w:val="24"/>
          <w:szCs w:val="24"/>
        </w:rPr>
        <w:t>付款方式</w:t>
      </w:r>
    </w:p>
    <w:p w14:paraId="4DD81502">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付款条件：项目审计服务完成且审计报告经确认符合相关规定后，采购人根据采购合同并结合分期考核、项目验收结果核定服务费，中选供应商须向采购人提供等额的发票。若中选供应商未按合同约定及时提供发票，采购人有权拒绝付款，延迟付款责任由中选供应商自行承担。</w:t>
      </w:r>
    </w:p>
    <w:p w14:paraId="2F1041A3">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2、付款方式：采购人在收到发票30个工作日内支付服务费。</w:t>
      </w:r>
    </w:p>
    <w:p w14:paraId="5A6BFFF1">
      <w:pPr>
        <w:adjustRightInd w:val="0"/>
        <w:spacing w:line="360" w:lineRule="auto"/>
        <w:rPr>
          <w:rFonts w:hint="eastAsia" w:ascii="宋体" w:hAnsi="宋体" w:eastAsia="宋体" w:cs="宋体"/>
          <w:b/>
          <w:bCs/>
          <w:sz w:val="24"/>
          <w:szCs w:val="24"/>
        </w:rPr>
      </w:pPr>
    </w:p>
    <w:p w14:paraId="494AFD94">
      <w:pPr>
        <w:adjustRightIn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标段一、二、三分期考核及验收标准</w:t>
      </w:r>
    </w:p>
    <w:p w14:paraId="01A078B6">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1.在服务期间，可根据项目特点、项目进度对乙方服务实施情况进行分期考核，分期考核结果为项目最终验收的重要依据，乙方应做好相应配合工作。</w:t>
      </w:r>
    </w:p>
    <w:p w14:paraId="73337AA5">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2.分期考核内容：包括履约情况、审计质量、管理建议、职业道德、协调机制五个方面。</w:t>
      </w:r>
    </w:p>
    <w:p w14:paraId="685C7BCF">
      <w:pPr>
        <w:adjustRightIn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分期考核评分表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1636"/>
        <w:gridCol w:w="3580"/>
        <w:gridCol w:w="830"/>
        <w:gridCol w:w="801"/>
      </w:tblGrid>
      <w:tr w14:paraId="26CA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887" w:type="dxa"/>
            <w:gridSpan w:val="5"/>
            <w:vAlign w:val="center"/>
          </w:tcPr>
          <w:p w14:paraId="4BEC763B">
            <w:pPr>
              <w:pStyle w:val="9"/>
              <w:widowControl/>
              <w:jc w:val="both"/>
              <w:rPr>
                <w:rFonts w:hint="eastAsia"/>
                <w:bCs/>
                <w:color w:val="auto"/>
                <w:sz w:val="22"/>
                <w:szCs w:val="22"/>
              </w:rPr>
            </w:pPr>
            <w:r>
              <w:rPr>
                <w:rFonts w:hint="eastAsia"/>
                <w:bCs/>
                <w:color w:val="auto"/>
                <w:sz w:val="22"/>
                <w:szCs w:val="22"/>
              </w:rPr>
              <w:t>被考核人名称：</w:t>
            </w:r>
          </w:p>
        </w:tc>
      </w:tr>
      <w:tr w14:paraId="0C69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729" w:type="dxa"/>
            <w:vAlign w:val="center"/>
          </w:tcPr>
          <w:p w14:paraId="7F384E37">
            <w:pPr>
              <w:pStyle w:val="9"/>
              <w:widowControl/>
              <w:jc w:val="center"/>
              <w:rPr>
                <w:rFonts w:hint="eastAsia"/>
                <w:bCs/>
                <w:color w:val="auto"/>
                <w:sz w:val="22"/>
                <w:szCs w:val="22"/>
              </w:rPr>
            </w:pPr>
            <w:r>
              <w:rPr>
                <w:rFonts w:hint="eastAsia"/>
                <w:bCs/>
                <w:color w:val="auto"/>
                <w:sz w:val="22"/>
                <w:szCs w:val="22"/>
              </w:rPr>
              <w:t>项目</w:t>
            </w:r>
          </w:p>
        </w:tc>
        <w:tc>
          <w:tcPr>
            <w:tcW w:w="1702" w:type="dxa"/>
            <w:vAlign w:val="center"/>
          </w:tcPr>
          <w:p w14:paraId="3545A1AE">
            <w:pPr>
              <w:pStyle w:val="9"/>
              <w:widowControl/>
              <w:jc w:val="center"/>
              <w:rPr>
                <w:rFonts w:hint="eastAsia"/>
                <w:bCs/>
                <w:color w:val="auto"/>
                <w:sz w:val="22"/>
                <w:szCs w:val="22"/>
              </w:rPr>
            </w:pPr>
            <w:r>
              <w:rPr>
                <w:rFonts w:hint="eastAsia"/>
                <w:bCs/>
                <w:color w:val="auto"/>
                <w:sz w:val="22"/>
                <w:szCs w:val="22"/>
              </w:rPr>
              <w:t>分项</w:t>
            </w:r>
          </w:p>
        </w:tc>
        <w:tc>
          <w:tcPr>
            <w:tcW w:w="3775" w:type="dxa"/>
            <w:vAlign w:val="center"/>
          </w:tcPr>
          <w:p w14:paraId="44FBA0FF">
            <w:pPr>
              <w:pStyle w:val="9"/>
              <w:widowControl/>
              <w:jc w:val="center"/>
              <w:rPr>
                <w:rFonts w:hint="eastAsia"/>
                <w:bCs/>
                <w:color w:val="auto"/>
                <w:sz w:val="22"/>
                <w:szCs w:val="22"/>
              </w:rPr>
            </w:pPr>
            <w:r>
              <w:rPr>
                <w:rFonts w:hint="eastAsia"/>
                <w:bCs/>
                <w:color w:val="auto"/>
                <w:sz w:val="22"/>
                <w:szCs w:val="22"/>
              </w:rPr>
              <w:t>细目</w:t>
            </w:r>
          </w:p>
        </w:tc>
        <w:tc>
          <w:tcPr>
            <w:tcW w:w="856" w:type="dxa"/>
            <w:vAlign w:val="center"/>
          </w:tcPr>
          <w:p w14:paraId="7F1FA8FB">
            <w:pPr>
              <w:pStyle w:val="9"/>
              <w:widowControl/>
              <w:jc w:val="center"/>
              <w:rPr>
                <w:rFonts w:hint="eastAsia"/>
                <w:bCs/>
                <w:color w:val="auto"/>
                <w:sz w:val="22"/>
                <w:szCs w:val="22"/>
              </w:rPr>
            </w:pPr>
            <w:r>
              <w:rPr>
                <w:rFonts w:hint="eastAsia"/>
                <w:bCs/>
                <w:color w:val="auto"/>
                <w:sz w:val="22"/>
                <w:szCs w:val="22"/>
              </w:rPr>
              <w:t>分值</w:t>
            </w:r>
          </w:p>
        </w:tc>
        <w:tc>
          <w:tcPr>
            <w:tcW w:w="825" w:type="dxa"/>
            <w:vAlign w:val="center"/>
          </w:tcPr>
          <w:p w14:paraId="08CFF0AD">
            <w:pPr>
              <w:pStyle w:val="9"/>
              <w:widowControl/>
              <w:jc w:val="center"/>
              <w:rPr>
                <w:rFonts w:hint="eastAsia"/>
                <w:bCs/>
                <w:color w:val="auto"/>
                <w:sz w:val="22"/>
                <w:szCs w:val="22"/>
              </w:rPr>
            </w:pPr>
            <w:r>
              <w:rPr>
                <w:rFonts w:hint="eastAsia"/>
                <w:bCs/>
                <w:color w:val="auto"/>
                <w:sz w:val="22"/>
                <w:szCs w:val="22"/>
              </w:rPr>
              <w:t>得分</w:t>
            </w:r>
          </w:p>
        </w:tc>
      </w:tr>
      <w:tr w14:paraId="5402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restart"/>
            <w:vAlign w:val="center"/>
          </w:tcPr>
          <w:p w14:paraId="1F08E537">
            <w:pPr>
              <w:pStyle w:val="9"/>
              <w:widowControl/>
              <w:jc w:val="center"/>
              <w:rPr>
                <w:rFonts w:hint="eastAsia"/>
                <w:bCs/>
                <w:color w:val="auto"/>
                <w:sz w:val="22"/>
                <w:szCs w:val="22"/>
              </w:rPr>
            </w:pPr>
            <w:r>
              <w:rPr>
                <w:rFonts w:hint="eastAsia"/>
                <w:bCs/>
                <w:color w:val="auto"/>
                <w:sz w:val="22"/>
                <w:szCs w:val="22"/>
              </w:rPr>
              <w:t>履约情况</w:t>
            </w:r>
          </w:p>
          <w:p w14:paraId="012A7256">
            <w:pPr>
              <w:pStyle w:val="9"/>
              <w:widowControl/>
              <w:jc w:val="center"/>
              <w:rPr>
                <w:rFonts w:hint="eastAsia"/>
                <w:bCs/>
                <w:color w:val="auto"/>
                <w:sz w:val="22"/>
                <w:szCs w:val="22"/>
              </w:rPr>
            </w:pPr>
            <w:r>
              <w:rPr>
                <w:rFonts w:hint="eastAsia"/>
                <w:bCs/>
                <w:color w:val="auto"/>
                <w:sz w:val="22"/>
                <w:szCs w:val="22"/>
              </w:rPr>
              <w:t>（36）</w:t>
            </w:r>
          </w:p>
        </w:tc>
        <w:tc>
          <w:tcPr>
            <w:tcW w:w="1702" w:type="dxa"/>
            <w:vAlign w:val="center"/>
          </w:tcPr>
          <w:p w14:paraId="102F6EC1">
            <w:pPr>
              <w:pStyle w:val="9"/>
              <w:widowControl/>
              <w:jc w:val="center"/>
              <w:rPr>
                <w:rFonts w:hint="eastAsia"/>
                <w:bCs/>
                <w:color w:val="auto"/>
                <w:sz w:val="22"/>
                <w:szCs w:val="22"/>
              </w:rPr>
            </w:pPr>
            <w:r>
              <w:rPr>
                <w:rFonts w:hint="eastAsia"/>
                <w:bCs/>
                <w:color w:val="auto"/>
                <w:sz w:val="22"/>
                <w:szCs w:val="22"/>
              </w:rPr>
              <w:t>项目负责人</w:t>
            </w:r>
          </w:p>
        </w:tc>
        <w:tc>
          <w:tcPr>
            <w:tcW w:w="3775" w:type="dxa"/>
            <w:vAlign w:val="center"/>
          </w:tcPr>
          <w:p w14:paraId="194F4F44">
            <w:pPr>
              <w:pStyle w:val="9"/>
              <w:widowControl/>
              <w:jc w:val="both"/>
              <w:rPr>
                <w:rFonts w:hint="eastAsia"/>
                <w:bCs/>
                <w:color w:val="auto"/>
                <w:sz w:val="22"/>
                <w:szCs w:val="22"/>
              </w:rPr>
            </w:pPr>
            <w:r>
              <w:rPr>
                <w:rFonts w:hint="eastAsia"/>
                <w:bCs/>
                <w:color w:val="auto"/>
                <w:sz w:val="22"/>
                <w:szCs w:val="22"/>
              </w:rPr>
              <w:t>项目负责人在履约期间驻场工作时间不得少于必须驻场的工作日数，每少1日扣0.5分；未按时参加甲方工作会议的，每有一次扣1分。</w:t>
            </w:r>
          </w:p>
        </w:tc>
        <w:tc>
          <w:tcPr>
            <w:tcW w:w="856" w:type="dxa"/>
            <w:vAlign w:val="center"/>
          </w:tcPr>
          <w:p w14:paraId="36578B5A">
            <w:pPr>
              <w:pStyle w:val="9"/>
              <w:widowControl/>
              <w:jc w:val="center"/>
              <w:rPr>
                <w:rFonts w:hint="eastAsia"/>
                <w:bCs/>
                <w:color w:val="auto"/>
                <w:sz w:val="22"/>
                <w:szCs w:val="22"/>
              </w:rPr>
            </w:pPr>
            <w:r>
              <w:rPr>
                <w:rFonts w:hint="eastAsia"/>
                <w:bCs/>
                <w:color w:val="auto"/>
                <w:sz w:val="22"/>
                <w:szCs w:val="22"/>
              </w:rPr>
              <w:t>10</w:t>
            </w:r>
          </w:p>
        </w:tc>
        <w:tc>
          <w:tcPr>
            <w:tcW w:w="825" w:type="dxa"/>
            <w:vAlign w:val="center"/>
          </w:tcPr>
          <w:p w14:paraId="159F2901">
            <w:pPr>
              <w:pStyle w:val="9"/>
              <w:widowControl/>
              <w:jc w:val="center"/>
              <w:rPr>
                <w:rFonts w:hint="eastAsia"/>
                <w:b/>
                <w:bCs/>
                <w:color w:val="auto"/>
                <w:sz w:val="22"/>
                <w:szCs w:val="22"/>
              </w:rPr>
            </w:pPr>
          </w:p>
        </w:tc>
      </w:tr>
      <w:tr w14:paraId="47CC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729" w:type="dxa"/>
            <w:vMerge w:val="continue"/>
            <w:vAlign w:val="center"/>
          </w:tcPr>
          <w:p w14:paraId="611B62DA">
            <w:pPr>
              <w:pStyle w:val="9"/>
              <w:widowControl/>
              <w:jc w:val="center"/>
              <w:rPr>
                <w:rFonts w:hint="eastAsia"/>
                <w:b/>
                <w:bCs/>
                <w:color w:val="auto"/>
                <w:sz w:val="22"/>
                <w:szCs w:val="22"/>
              </w:rPr>
            </w:pPr>
          </w:p>
        </w:tc>
        <w:tc>
          <w:tcPr>
            <w:tcW w:w="1702" w:type="dxa"/>
            <w:vMerge w:val="restart"/>
            <w:vAlign w:val="center"/>
          </w:tcPr>
          <w:p w14:paraId="6CA713C9">
            <w:pPr>
              <w:pStyle w:val="9"/>
              <w:widowControl/>
              <w:jc w:val="center"/>
              <w:rPr>
                <w:rFonts w:hint="eastAsia"/>
                <w:bCs/>
                <w:color w:val="auto"/>
                <w:sz w:val="22"/>
                <w:szCs w:val="22"/>
              </w:rPr>
            </w:pPr>
            <w:r>
              <w:rPr>
                <w:rFonts w:hint="eastAsia"/>
                <w:bCs/>
                <w:color w:val="auto"/>
                <w:sz w:val="22"/>
                <w:szCs w:val="22"/>
              </w:rPr>
              <w:t>审计人员配备（不包括项目负责人）</w:t>
            </w:r>
          </w:p>
        </w:tc>
        <w:tc>
          <w:tcPr>
            <w:tcW w:w="3775" w:type="dxa"/>
            <w:vAlign w:val="center"/>
          </w:tcPr>
          <w:p w14:paraId="40DEC62E">
            <w:pPr>
              <w:pStyle w:val="9"/>
              <w:widowControl/>
              <w:jc w:val="both"/>
              <w:rPr>
                <w:rFonts w:hint="eastAsia"/>
                <w:b/>
                <w:bCs/>
                <w:color w:val="auto"/>
                <w:sz w:val="22"/>
                <w:szCs w:val="22"/>
              </w:rPr>
            </w:pPr>
            <w:r>
              <w:rPr>
                <w:rFonts w:hint="eastAsia"/>
                <w:bCs/>
                <w:color w:val="auto"/>
                <w:sz w:val="22"/>
                <w:szCs w:val="22"/>
              </w:rPr>
              <w:t>审计人员按照合同要求配备到位，少1人扣1分，扣完为止。</w:t>
            </w:r>
          </w:p>
        </w:tc>
        <w:tc>
          <w:tcPr>
            <w:tcW w:w="856" w:type="dxa"/>
            <w:vAlign w:val="center"/>
          </w:tcPr>
          <w:p w14:paraId="2C01F337">
            <w:pPr>
              <w:pStyle w:val="9"/>
              <w:widowControl/>
              <w:jc w:val="center"/>
              <w:rPr>
                <w:rFonts w:hint="eastAsia"/>
                <w:bCs/>
                <w:color w:val="auto"/>
                <w:sz w:val="22"/>
                <w:szCs w:val="22"/>
              </w:rPr>
            </w:pPr>
            <w:r>
              <w:rPr>
                <w:rFonts w:hint="eastAsia"/>
                <w:bCs/>
                <w:color w:val="auto"/>
                <w:sz w:val="22"/>
                <w:szCs w:val="22"/>
              </w:rPr>
              <w:t>5</w:t>
            </w:r>
          </w:p>
        </w:tc>
        <w:tc>
          <w:tcPr>
            <w:tcW w:w="825" w:type="dxa"/>
            <w:vMerge w:val="restart"/>
            <w:vAlign w:val="center"/>
          </w:tcPr>
          <w:p w14:paraId="740A1F16">
            <w:pPr>
              <w:pStyle w:val="9"/>
              <w:widowControl/>
              <w:jc w:val="center"/>
              <w:rPr>
                <w:rFonts w:hint="eastAsia"/>
                <w:b/>
                <w:bCs/>
                <w:color w:val="auto"/>
                <w:sz w:val="22"/>
                <w:szCs w:val="22"/>
              </w:rPr>
            </w:pPr>
          </w:p>
        </w:tc>
      </w:tr>
      <w:tr w14:paraId="2736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729" w:type="dxa"/>
            <w:vMerge w:val="continue"/>
            <w:vAlign w:val="center"/>
          </w:tcPr>
          <w:p w14:paraId="6C1C4730">
            <w:pPr>
              <w:pStyle w:val="9"/>
              <w:widowControl/>
              <w:jc w:val="center"/>
              <w:rPr>
                <w:rFonts w:hint="eastAsia"/>
                <w:color w:val="auto"/>
                <w:sz w:val="22"/>
                <w:szCs w:val="22"/>
              </w:rPr>
            </w:pPr>
          </w:p>
        </w:tc>
        <w:tc>
          <w:tcPr>
            <w:tcW w:w="1702" w:type="dxa"/>
            <w:vMerge w:val="continue"/>
            <w:vAlign w:val="center"/>
          </w:tcPr>
          <w:p w14:paraId="5B5E3B38">
            <w:pPr>
              <w:pStyle w:val="9"/>
              <w:widowControl/>
              <w:jc w:val="center"/>
              <w:rPr>
                <w:rFonts w:hint="eastAsia"/>
                <w:color w:val="auto"/>
                <w:sz w:val="22"/>
                <w:szCs w:val="22"/>
              </w:rPr>
            </w:pPr>
          </w:p>
        </w:tc>
        <w:tc>
          <w:tcPr>
            <w:tcW w:w="3775" w:type="dxa"/>
            <w:vAlign w:val="center"/>
          </w:tcPr>
          <w:p w14:paraId="47DA5EA9">
            <w:pPr>
              <w:pStyle w:val="9"/>
              <w:widowControl/>
              <w:jc w:val="both"/>
              <w:rPr>
                <w:rFonts w:hint="eastAsia"/>
                <w:bCs/>
                <w:color w:val="auto"/>
                <w:sz w:val="22"/>
                <w:szCs w:val="22"/>
              </w:rPr>
            </w:pPr>
            <w:r>
              <w:rPr>
                <w:rFonts w:hint="eastAsia"/>
                <w:bCs/>
                <w:color w:val="auto"/>
                <w:sz w:val="22"/>
                <w:szCs w:val="22"/>
              </w:rPr>
              <w:t>审计人员在履约期间驻场工作时间不得少于必须驻场的工作日数，如有事情按规定请假，不得迟到、早退或者缺勤，若迟到、早退，发现一起扣0.5分，缺勤一次扣1分。</w:t>
            </w:r>
          </w:p>
        </w:tc>
        <w:tc>
          <w:tcPr>
            <w:tcW w:w="856" w:type="dxa"/>
            <w:vAlign w:val="center"/>
          </w:tcPr>
          <w:p w14:paraId="4DC5CC9E">
            <w:pPr>
              <w:pStyle w:val="9"/>
              <w:widowControl/>
              <w:jc w:val="center"/>
              <w:rPr>
                <w:rFonts w:hint="eastAsia"/>
                <w:bCs/>
                <w:color w:val="auto"/>
                <w:sz w:val="22"/>
                <w:szCs w:val="22"/>
              </w:rPr>
            </w:pPr>
            <w:r>
              <w:rPr>
                <w:rFonts w:hint="eastAsia"/>
                <w:bCs/>
                <w:color w:val="auto"/>
                <w:sz w:val="22"/>
                <w:szCs w:val="22"/>
              </w:rPr>
              <w:t>5</w:t>
            </w:r>
          </w:p>
        </w:tc>
        <w:tc>
          <w:tcPr>
            <w:tcW w:w="825" w:type="dxa"/>
            <w:vMerge w:val="continue"/>
            <w:vAlign w:val="center"/>
          </w:tcPr>
          <w:p w14:paraId="6D8617E8">
            <w:pPr>
              <w:pStyle w:val="9"/>
              <w:widowControl/>
              <w:jc w:val="center"/>
              <w:rPr>
                <w:rFonts w:hint="eastAsia"/>
                <w:bCs/>
                <w:color w:val="auto"/>
                <w:sz w:val="22"/>
                <w:szCs w:val="22"/>
              </w:rPr>
            </w:pPr>
          </w:p>
        </w:tc>
      </w:tr>
      <w:tr w14:paraId="42C9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29" w:type="dxa"/>
            <w:vMerge w:val="continue"/>
            <w:vAlign w:val="center"/>
          </w:tcPr>
          <w:p w14:paraId="6E4D43BC">
            <w:pPr>
              <w:pStyle w:val="9"/>
              <w:widowControl/>
              <w:jc w:val="center"/>
              <w:rPr>
                <w:rFonts w:hint="eastAsia"/>
                <w:b/>
                <w:bCs/>
                <w:color w:val="auto"/>
                <w:sz w:val="22"/>
                <w:szCs w:val="22"/>
              </w:rPr>
            </w:pPr>
          </w:p>
        </w:tc>
        <w:tc>
          <w:tcPr>
            <w:tcW w:w="1702" w:type="dxa"/>
            <w:vAlign w:val="center"/>
          </w:tcPr>
          <w:p w14:paraId="47592B88">
            <w:pPr>
              <w:pStyle w:val="9"/>
              <w:widowControl/>
              <w:jc w:val="center"/>
              <w:rPr>
                <w:rFonts w:hint="eastAsia"/>
                <w:bCs/>
                <w:color w:val="auto"/>
                <w:sz w:val="22"/>
                <w:szCs w:val="22"/>
              </w:rPr>
            </w:pPr>
            <w:r>
              <w:rPr>
                <w:rFonts w:hint="eastAsia"/>
                <w:bCs/>
                <w:color w:val="auto"/>
                <w:sz w:val="22"/>
                <w:szCs w:val="22"/>
              </w:rPr>
              <w:t>委托合同执行</w:t>
            </w:r>
          </w:p>
        </w:tc>
        <w:tc>
          <w:tcPr>
            <w:tcW w:w="3775" w:type="dxa"/>
            <w:vAlign w:val="center"/>
          </w:tcPr>
          <w:p w14:paraId="31059D87">
            <w:pPr>
              <w:pStyle w:val="9"/>
              <w:widowControl/>
              <w:jc w:val="both"/>
              <w:rPr>
                <w:rFonts w:hint="eastAsia"/>
                <w:bCs/>
                <w:color w:val="auto"/>
                <w:sz w:val="22"/>
                <w:szCs w:val="22"/>
              </w:rPr>
            </w:pPr>
            <w:r>
              <w:rPr>
                <w:rFonts w:hint="eastAsia"/>
                <w:bCs/>
                <w:color w:val="auto"/>
                <w:sz w:val="22"/>
                <w:szCs w:val="22"/>
              </w:rPr>
              <w:t>按采购合同条款执行，未经甲方同意的分包行为等情况，违反一项条款扣2分，扣完为止。</w:t>
            </w:r>
          </w:p>
        </w:tc>
        <w:tc>
          <w:tcPr>
            <w:tcW w:w="856" w:type="dxa"/>
            <w:vAlign w:val="center"/>
          </w:tcPr>
          <w:p w14:paraId="4D1A8CDB">
            <w:pPr>
              <w:pStyle w:val="9"/>
              <w:widowControl/>
              <w:jc w:val="center"/>
              <w:rPr>
                <w:rFonts w:hint="eastAsia"/>
                <w:bCs/>
                <w:color w:val="auto"/>
                <w:sz w:val="22"/>
                <w:szCs w:val="22"/>
              </w:rPr>
            </w:pPr>
            <w:r>
              <w:rPr>
                <w:rFonts w:hint="eastAsia"/>
                <w:bCs/>
                <w:color w:val="auto"/>
                <w:sz w:val="22"/>
                <w:szCs w:val="22"/>
              </w:rPr>
              <w:t>6</w:t>
            </w:r>
          </w:p>
        </w:tc>
        <w:tc>
          <w:tcPr>
            <w:tcW w:w="825" w:type="dxa"/>
            <w:vAlign w:val="center"/>
          </w:tcPr>
          <w:p w14:paraId="24B87B67">
            <w:pPr>
              <w:pStyle w:val="9"/>
              <w:widowControl/>
              <w:jc w:val="center"/>
              <w:rPr>
                <w:rFonts w:hint="eastAsia"/>
                <w:b/>
                <w:bCs/>
                <w:color w:val="auto"/>
                <w:sz w:val="22"/>
                <w:szCs w:val="22"/>
              </w:rPr>
            </w:pPr>
          </w:p>
        </w:tc>
      </w:tr>
      <w:tr w14:paraId="5B67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continue"/>
            <w:vAlign w:val="center"/>
          </w:tcPr>
          <w:p w14:paraId="4BF88E23">
            <w:pPr>
              <w:pStyle w:val="9"/>
              <w:widowControl/>
              <w:jc w:val="center"/>
              <w:rPr>
                <w:rFonts w:hint="eastAsia"/>
                <w:b/>
                <w:bCs/>
                <w:color w:val="auto"/>
                <w:sz w:val="22"/>
                <w:szCs w:val="22"/>
              </w:rPr>
            </w:pPr>
          </w:p>
        </w:tc>
        <w:tc>
          <w:tcPr>
            <w:tcW w:w="1702" w:type="dxa"/>
            <w:vAlign w:val="center"/>
          </w:tcPr>
          <w:p w14:paraId="3C1E225F">
            <w:pPr>
              <w:pStyle w:val="9"/>
              <w:widowControl/>
              <w:jc w:val="center"/>
              <w:rPr>
                <w:rFonts w:hint="eastAsia"/>
                <w:bCs/>
                <w:color w:val="auto"/>
                <w:sz w:val="22"/>
                <w:szCs w:val="22"/>
              </w:rPr>
            </w:pPr>
            <w:r>
              <w:rPr>
                <w:rFonts w:hint="eastAsia"/>
                <w:bCs/>
                <w:color w:val="auto"/>
                <w:sz w:val="22"/>
                <w:szCs w:val="22"/>
              </w:rPr>
              <w:t>按委托单位要求报送资料</w:t>
            </w:r>
          </w:p>
        </w:tc>
        <w:tc>
          <w:tcPr>
            <w:tcW w:w="3775" w:type="dxa"/>
            <w:vAlign w:val="center"/>
          </w:tcPr>
          <w:p w14:paraId="21AABA48">
            <w:pPr>
              <w:pStyle w:val="9"/>
              <w:widowControl/>
              <w:jc w:val="both"/>
              <w:rPr>
                <w:rFonts w:hint="eastAsia"/>
                <w:bCs/>
                <w:color w:val="auto"/>
                <w:sz w:val="22"/>
                <w:szCs w:val="22"/>
              </w:rPr>
            </w:pPr>
            <w:r>
              <w:rPr>
                <w:rFonts w:hint="eastAsia"/>
                <w:bCs/>
                <w:color w:val="auto"/>
                <w:sz w:val="22"/>
                <w:szCs w:val="22"/>
              </w:rPr>
              <w:t>按采购合同条款执行，如发生未在要求交付时间内交付审计报告的，按延迟日数每日扣减1分，扣完为止。</w:t>
            </w:r>
          </w:p>
        </w:tc>
        <w:tc>
          <w:tcPr>
            <w:tcW w:w="856" w:type="dxa"/>
            <w:vAlign w:val="center"/>
          </w:tcPr>
          <w:p w14:paraId="3E2C9677">
            <w:pPr>
              <w:pStyle w:val="9"/>
              <w:widowControl/>
              <w:jc w:val="center"/>
              <w:rPr>
                <w:rFonts w:hint="eastAsia"/>
                <w:bCs/>
                <w:color w:val="auto"/>
                <w:sz w:val="22"/>
                <w:szCs w:val="22"/>
              </w:rPr>
            </w:pPr>
            <w:r>
              <w:rPr>
                <w:rFonts w:hint="eastAsia"/>
                <w:bCs/>
                <w:color w:val="auto"/>
                <w:sz w:val="22"/>
                <w:szCs w:val="22"/>
              </w:rPr>
              <w:t>10</w:t>
            </w:r>
          </w:p>
        </w:tc>
        <w:tc>
          <w:tcPr>
            <w:tcW w:w="825" w:type="dxa"/>
            <w:vAlign w:val="center"/>
          </w:tcPr>
          <w:p w14:paraId="3463DE7E">
            <w:pPr>
              <w:pStyle w:val="9"/>
              <w:widowControl/>
              <w:jc w:val="center"/>
              <w:rPr>
                <w:rFonts w:hint="eastAsia"/>
                <w:b/>
                <w:bCs/>
                <w:color w:val="auto"/>
                <w:sz w:val="22"/>
                <w:szCs w:val="22"/>
              </w:rPr>
            </w:pPr>
          </w:p>
        </w:tc>
      </w:tr>
      <w:tr w14:paraId="132E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729" w:type="dxa"/>
            <w:vMerge w:val="restart"/>
            <w:vAlign w:val="center"/>
          </w:tcPr>
          <w:p w14:paraId="2FABA1EC">
            <w:pPr>
              <w:pStyle w:val="9"/>
              <w:widowControl/>
              <w:jc w:val="center"/>
              <w:rPr>
                <w:rFonts w:hint="eastAsia"/>
                <w:bCs/>
                <w:color w:val="auto"/>
                <w:sz w:val="22"/>
                <w:szCs w:val="22"/>
              </w:rPr>
            </w:pPr>
          </w:p>
          <w:p w14:paraId="4FB0A28C">
            <w:pPr>
              <w:pStyle w:val="9"/>
              <w:widowControl/>
              <w:jc w:val="center"/>
              <w:rPr>
                <w:rFonts w:hint="eastAsia"/>
                <w:bCs/>
                <w:color w:val="auto"/>
                <w:sz w:val="22"/>
                <w:szCs w:val="22"/>
              </w:rPr>
            </w:pPr>
            <w:r>
              <w:rPr>
                <w:rFonts w:hint="eastAsia"/>
                <w:bCs/>
                <w:color w:val="auto"/>
                <w:sz w:val="22"/>
                <w:szCs w:val="22"/>
              </w:rPr>
              <w:t>审计质量</w:t>
            </w:r>
          </w:p>
          <w:p w14:paraId="3DE479D9">
            <w:pPr>
              <w:pStyle w:val="9"/>
              <w:widowControl/>
              <w:jc w:val="center"/>
              <w:rPr>
                <w:rFonts w:hint="eastAsia"/>
                <w:bCs/>
                <w:color w:val="auto"/>
                <w:sz w:val="22"/>
                <w:szCs w:val="22"/>
              </w:rPr>
            </w:pPr>
            <w:r>
              <w:rPr>
                <w:rFonts w:hint="eastAsia"/>
                <w:bCs/>
                <w:color w:val="auto"/>
                <w:sz w:val="22"/>
                <w:szCs w:val="22"/>
              </w:rPr>
              <w:t>（40）</w:t>
            </w:r>
          </w:p>
        </w:tc>
        <w:tc>
          <w:tcPr>
            <w:tcW w:w="1702" w:type="dxa"/>
            <w:vAlign w:val="center"/>
          </w:tcPr>
          <w:p w14:paraId="2F0BBD4F">
            <w:pPr>
              <w:pStyle w:val="9"/>
              <w:widowControl/>
              <w:jc w:val="center"/>
              <w:rPr>
                <w:rFonts w:hint="eastAsia"/>
                <w:bCs/>
                <w:color w:val="auto"/>
                <w:sz w:val="22"/>
                <w:szCs w:val="22"/>
              </w:rPr>
            </w:pPr>
            <w:r>
              <w:rPr>
                <w:rFonts w:hint="eastAsia"/>
                <w:bCs/>
                <w:color w:val="auto"/>
                <w:sz w:val="22"/>
                <w:szCs w:val="22"/>
              </w:rPr>
              <w:t>审计程序</w:t>
            </w:r>
          </w:p>
        </w:tc>
        <w:tc>
          <w:tcPr>
            <w:tcW w:w="3775" w:type="dxa"/>
            <w:vAlign w:val="center"/>
          </w:tcPr>
          <w:p w14:paraId="3A2903CB">
            <w:pPr>
              <w:pStyle w:val="9"/>
              <w:widowControl/>
              <w:jc w:val="both"/>
              <w:rPr>
                <w:rFonts w:hint="eastAsia"/>
                <w:bCs/>
                <w:color w:val="auto"/>
                <w:sz w:val="22"/>
                <w:szCs w:val="22"/>
              </w:rPr>
            </w:pPr>
            <w:r>
              <w:rPr>
                <w:rFonts w:hint="eastAsia"/>
                <w:bCs/>
                <w:color w:val="auto"/>
                <w:sz w:val="22"/>
                <w:szCs w:val="22"/>
              </w:rPr>
              <w:t>未按照审计规范或投标人提供的审计方案实施的，发现一项扣1分，扣完为止。</w:t>
            </w:r>
          </w:p>
        </w:tc>
        <w:tc>
          <w:tcPr>
            <w:tcW w:w="856" w:type="dxa"/>
            <w:vAlign w:val="center"/>
          </w:tcPr>
          <w:p w14:paraId="689A458F">
            <w:pPr>
              <w:pStyle w:val="9"/>
              <w:widowControl/>
              <w:jc w:val="center"/>
              <w:rPr>
                <w:rFonts w:hint="eastAsia"/>
                <w:bCs/>
                <w:color w:val="auto"/>
                <w:sz w:val="22"/>
                <w:szCs w:val="22"/>
              </w:rPr>
            </w:pPr>
            <w:r>
              <w:rPr>
                <w:rFonts w:hint="eastAsia"/>
                <w:bCs/>
                <w:color w:val="auto"/>
                <w:sz w:val="22"/>
                <w:szCs w:val="22"/>
              </w:rPr>
              <w:t>5</w:t>
            </w:r>
          </w:p>
        </w:tc>
        <w:tc>
          <w:tcPr>
            <w:tcW w:w="825" w:type="dxa"/>
            <w:vAlign w:val="center"/>
          </w:tcPr>
          <w:p w14:paraId="2C904E38">
            <w:pPr>
              <w:pStyle w:val="9"/>
              <w:widowControl/>
              <w:jc w:val="center"/>
              <w:rPr>
                <w:rFonts w:hint="eastAsia"/>
                <w:b/>
                <w:bCs/>
                <w:color w:val="auto"/>
                <w:sz w:val="22"/>
                <w:szCs w:val="22"/>
              </w:rPr>
            </w:pPr>
          </w:p>
        </w:tc>
      </w:tr>
      <w:tr w14:paraId="288A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continue"/>
            <w:vAlign w:val="center"/>
          </w:tcPr>
          <w:p w14:paraId="4CCE4022">
            <w:pPr>
              <w:pStyle w:val="9"/>
              <w:widowControl/>
              <w:jc w:val="center"/>
              <w:rPr>
                <w:rFonts w:hint="eastAsia"/>
                <w:bCs/>
                <w:color w:val="auto"/>
                <w:sz w:val="22"/>
                <w:szCs w:val="22"/>
              </w:rPr>
            </w:pPr>
          </w:p>
        </w:tc>
        <w:tc>
          <w:tcPr>
            <w:tcW w:w="1702" w:type="dxa"/>
            <w:vAlign w:val="center"/>
          </w:tcPr>
          <w:p w14:paraId="22207F44">
            <w:pPr>
              <w:pStyle w:val="9"/>
              <w:widowControl/>
              <w:jc w:val="center"/>
              <w:rPr>
                <w:rFonts w:hint="eastAsia"/>
                <w:bCs/>
                <w:color w:val="auto"/>
                <w:sz w:val="22"/>
                <w:szCs w:val="22"/>
              </w:rPr>
            </w:pPr>
            <w:r>
              <w:rPr>
                <w:rFonts w:hint="eastAsia"/>
                <w:bCs/>
                <w:color w:val="auto"/>
                <w:sz w:val="22"/>
                <w:szCs w:val="22"/>
              </w:rPr>
              <w:t>审计工作底稿</w:t>
            </w:r>
          </w:p>
        </w:tc>
        <w:tc>
          <w:tcPr>
            <w:tcW w:w="3775" w:type="dxa"/>
            <w:vAlign w:val="center"/>
          </w:tcPr>
          <w:p w14:paraId="79719201">
            <w:pPr>
              <w:pStyle w:val="9"/>
              <w:widowControl/>
              <w:jc w:val="both"/>
              <w:rPr>
                <w:rFonts w:hint="eastAsia"/>
                <w:bCs/>
                <w:color w:val="auto"/>
                <w:sz w:val="22"/>
                <w:szCs w:val="22"/>
              </w:rPr>
            </w:pPr>
            <w:r>
              <w:rPr>
                <w:rFonts w:hint="eastAsia"/>
                <w:bCs/>
                <w:color w:val="auto"/>
                <w:sz w:val="22"/>
                <w:szCs w:val="22"/>
              </w:rPr>
              <w:t>审计底稿内容完整、记录清晰、结论明确，证据充分，同时具备纸质与电子底稿；每份底稿丢失、记录不完整的每发现一项扣2分，扣完为止。</w:t>
            </w:r>
          </w:p>
        </w:tc>
        <w:tc>
          <w:tcPr>
            <w:tcW w:w="856" w:type="dxa"/>
            <w:vAlign w:val="center"/>
          </w:tcPr>
          <w:p w14:paraId="7681344F">
            <w:pPr>
              <w:pStyle w:val="9"/>
              <w:widowControl/>
              <w:jc w:val="center"/>
              <w:rPr>
                <w:rFonts w:hint="eastAsia"/>
                <w:bCs/>
                <w:color w:val="auto"/>
                <w:sz w:val="22"/>
                <w:szCs w:val="22"/>
              </w:rPr>
            </w:pPr>
            <w:r>
              <w:rPr>
                <w:rFonts w:hint="eastAsia"/>
                <w:bCs/>
                <w:color w:val="auto"/>
                <w:sz w:val="22"/>
                <w:szCs w:val="22"/>
              </w:rPr>
              <w:t>8</w:t>
            </w:r>
          </w:p>
        </w:tc>
        <w:tc>
          <w:tcPr>
            <w:tcW w:w="825" w:type="dxa"/>
            <w:vAlign w:val="center"/>
          </w:tcPr>
          <w:p w14:paraId="22B9E993">
            <w:pPr>
              <w:pStyle w:val="9"/>
              <w:widowControl/>
              <w:jc w:val="center"/>
              <w:rPr>
                <w:rFonts w:hint="eastAsia"/>
                <w:b/>
                <w:bCs/>
                <w:color w:val="auto"/>
                <w:sz w:val="22"/>
                <w:szCs w:val="22"/>
              </w:rPr>
            </w:pPr>
          </w:p>
        </w:tc>
      </w:tr>
      <w:tr w14:paraId="565C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729" w:type="dxa"/>
            <w:vMerge w:val="continue"/>
            <w:vAlign w:val="center"/>
          </w:tcPr>
          <w:p w14:paraId="61E0818A">
            <w:pPr>
              <w:pStyle w:val="9"/>
              <w:widowControl/>
              <w:jc w:val="center"/>
              <w:rPr>
                <w:rFonts w:hint="eastAsia"/>
                <w:bCs/>
                <w:color w:val="auto"/>
                <w:sz w:val="22"/>
                <w:szCs w:val="22"/>
              </w:rPr>
            </w:pPr>
          </w:p>
        </w:tc>
        <w:tc>
          <w:tcPr>
            <w:tcW w:w="1702" w:type="dxa"/>
            <w:vAlign w:val="center"/>
          </w:tcPr>
          <w:p w14:paraId="76693500">
            <w:pPr>
              <w:pStyle w:val="9"/>
              <w:widowControl/>
              <w:jc w:val="center"/>
              <w:rPr>
                <w:rFonts w:hint="eastAsia"/>
                <w:bCs/>
                <w:color w:val="auto"/>
                <w:sz w:val="22"/>
                <w:szCs w:val="22"/>
              </w:rPr>
            </w:pPr>
          </w:p>
        </w:tc>
        <w:tc>
          <w:tcPr>
            <w:tcW w:w="3775" w:type="dxa"/>
            <w:vAlign w:val="center"/>
          </w:tcPr>
          <w:p w14:paraId="35D0F972">
            <w:pPr>
              <w:pStyle w:val="9"/>
              <w:widowControl/>
              <w:jc w:val="both"/>
              <w:rPr>
                <w:rFonts w:hint="eastAsia"/>
                <w:bCs/>
                <w:color w:val="auto"/>
                <w:sz w:val="22"/>
                <w:szCs w:val="22"/>
              </w:rPr>
            </w:pPr>
            <w:r>
              <w:rPr>
                <w:rFonts w:hint="eastAsia"/>
                <w:bCs/>
                <w:color w:val="auto"/>
                <w:sz w:val="22"/>
                <w:szCs w:val="22"/>
              </w:rPr>
              <w:t>未按审计服务需求出具审计报告的，每有一份扣3分，超过两份该项不得分。</w:t>
            </w:r>
          </w:p>
        </w:tc>
        <w:tc>
          <w:tcPr>
            <w:tcW w:w="856" w:type="dxa"/>
            <w:vAlign w:val="center"/>
          </w:tcPr>
          <w:p w14:paraId="08329356">
            <w:pPr>
              <w:pStyle w:val="9"/>
              <w:widowControl/>
              <w:jc w:val="center"/>
              <w:rPr>
                <w:rFonts w:hint="eastAsia"/>
                <w:bCs/>
                <w:color w:val="auto"/>
                <w:sz w:val="22"/>
                <w:szCs w:val="22"/>
              </w:rPr>
            </w:pPr>
            <w:r>
              <w:rPr>
                <w:rFonts w:hint="eastAsia"/>
                <w:bCs/>
                <w:color w:val="auto"/>
                <w:sz w:val="22"/>
                <w:szCs w:val="22"/>
              </w:rPr>
              <w:t>10</w:t>
            </w:r>
          </w:p>
        </w:tc>
        <w:tc>
          <w:tcPr>
            <w:tcW w:w="825" w:type="dxa"/>
            <w:vAlign w:val="center"/>
          </w:tcPr>
          <w:p w14:paraId="53FD28B8">
            <w:pPr>
              <w:pStyle w:val="9"/>
              <w:widowControl/>
              <w:jc w:val="center"/>
              <w:rPr>
                <w:rFonts w:hint="eastAsia"/>
                <w:b/>
                <w:bCs/>
                <w:color w:val="auto"/>
                <w:sz w:val="22"/>
                <w:szCs w:val="22"/>
              </w:rPr>
            </w:pPr>
          </w:p>
        </w:tc>
      </w:tr>
      <w:tr w14:paraId="085F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29" w:type="dxa"/>
            <w:vMerge w:val="continue"/>
            <w:vAlign w:val="center"/>
          </w:tcPr>
          <w:p w14:paraId="39D29ADE">
            <w:pPr>
              <w:pStyle w:val="9"/>
              <w:widowControl/>
              <w:jc w:val="center"/>
              <w:rPr>
                <w:rFonts w:hint="eastAsia"/>
                <w:bCs/>
                <w:color w:val="auto"/>
                <w:sz w:val="22"/>
                <w:szCs w:val="22"/>
              </w:rPr>
            </w:pPr>
          </w:p>
        </w:tc>
        <w:tc>
          <w:tcPr>
            <w:tcW w:w="1702" w:type="dxa"/>
            <w:vAlign w:val="center"/>
          </w:tcPr>
          <w:p w14:paraId="54B7416F">
            <w:pPr>
              <w:pStyle w:val="9"/>
              <w:widowControl/>
              <w:jc w:val="center"/>
              <w:rPr>
                <w:rFonts w:hint="eastAsia"/>
                <w:bCs/>
                <w:color w:val="auto"/>
                <w:sz w:val="22"/>
                <w:szCs w:val="22"/>
              </w:rPr>
            </w:pPr>
            <w:r>
              <w:rPr>
                <w:rFonts w:hint="eastAsia"/>
                <w:bCs/>
                <w:color w:val="auto"/>
                <w:sz w:val="22"/>
                <w:szCs w:val="22"/>
              </w:rPr>
              <w:t>审计档案</w:t>
            </w:r>
          </w:p>
        </w:tc>
        <w:tc>
          <w:tcPr>
            <w:tcW w:w="3775" w:type="dxa"/>
            <w:vAlign w:val="center"/>
          </w:tcPr>
          <w:p w14:paraId="0F199A5A">
            <w:pPr>
              <w:pStyle w:val="9"/>
              <w:widowControl/>
              <w:jc w:val="both"/>
              <w:rPr>
                <w:rFonts w:hint="eastAsia"/>
                <w:bCs/>
                <w:color w:val="auto"/>
                <w:sz w:val="22"/>
                <w:szCs w:val="22"/>
              </w:rPr>
            </w:pPr>
            <w:r>
              <w:rPr>
                <w:rFonts w:hint="eastAsia"/>
                <w:bCs/>
                <w:color w:val="auto"/>
                <w:sz w:val="22"/>
                <w:szCs w:val="22"/>
              </w:rPr>
              <w:t>审计档案完整、便于查找的不扣分，审计档案缺失的该项不得分。</w:t>
            </w:r>
          </w:p>
        </w:tc>
        <w:tc>
          <w:tcPr>
            <w:tcW w:w="856" w:type="dxa"/>
            <w:vAlign w:val="center"/>
          </w:tcPr>
          <w:p w14:paraId="29579425">
            <w:pPr>
              <w:pStyle w:val="9"/>
              <w:widowControl/>
              <w:jc w:val="center"/>
              <w:rPr>
                <w:rFonts w:hint="eastAsia"/>
                <w:bCs/>
                <w:color w:val="auto"/>
                <w:sz w:val="22"/>
                <w:szCs w:val="22"/>
              </w:rPr>
            </w:pPr>
            <w:r>
              <w:rPr>
                <w:rFonts w:hint="eastAsia"/>
                <w:bCs/>
                <w:color w:val="auto"/>
                <w:sz w:val="22"/>
                <w:szCs w:val="22"/>
              </w:rPr>
              <w:t>5</w:t>
            </w:r>
          </w:p>
        </w:tc>
        <w:tc>
          <w:tcPr>
            <w:tcW w:w="825" w:type="dxa"/>
            <w:vAlign w:val="center"/>
          </w:tcPr>
          <w:p w14:paraId="48AC9AE9">
            <w:pPr>
              <w:pStyle w:val="9"/>
              <w:widowControl/>
              <w:jc w:val="center"/>
              <w:rPr>
                <w:rFonts w:hint="eastAsia"/>
                <w:b/>
                <w:bCs/>
                <w:color w:val="auto"/>
                <w:sz w:val="22"/>
                <w:szCs w:val="22"/>
              </w:rPr>
            </w:pPr>
          </w:p>
        </w:tc>
      </w:tr>
      <w:tr w14:paraId="36BC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729" w:type="dxa"/>
            <w:vMerge w:val="continue"/>
            <w:vAlign w:val="center"/>
          </w:tcPr>
          <w:p w14:paraId="653BD11D">
            <w:pPr>
              <w:pStyle w:val="9"/>
              <w:widowControl/>
              <w:jc w:val="center"/>
              <w:rPr>
                <w:rFonts w:hint="eastAsia"/>
                <w:bCs/>
                <w:color w:val="auto"/>
                <w:sz w:val="22"/>
                <w:szCs w:val="22"/>
              </w:rPr>
            </w:pPr>
          </w:p>
        </w:tc>
        <w:tc>
          <w:tcPr>
            <w:tcW w:w="1702" w:type="dxa"/>
            <w:vAlign w:val="center"/>
          </w:tcPr>
          <w:p w14:paraId="10A0299A">
            <w:pPr>
              <w:pStyle w:val="9"/>
              <w:widowControl/>
              <w:jc w:val="center"/>
              <w:rPr>
                <w:rFonts w:hint="eastAsia"/>
                <w:bCs/>
                <w:color w:val="auto"/>
                <w:sz w:val="22"/>
                <w:szCs w:val="22"/>
              </w:rPr>
            </w:pPr>
            <w:r>
              <w:rPr>
                <w:rFonts w:hint="eastAsia"/>
                <w:bCs/>
                <w:color w:val="auto"/>
                <w:sz w:val="22"/>
                <w:szCs w:val="22"/>
              </w:rPr>
              <w:t>无重大偏差</w:t>
            </w:r>
          </w:p>
        </w:tc>
        <w:tc>
          <w:tcPr>
            <w:tcW w:w="3775" w:type="dxa"/>
            <w:vAlign w:val="center"/>
          </w:tcPr>
          <w:p w14:paraId="4054E338">
            <w:pPr>
              <w:pStyle w:val="9"/>
              <w:widowControl/>
              <w:jc w:val="both"/>
              <w:rPr>
                <w:rFonts w:hint="eastAsia"/>
                <w:bCs/>
                <w:color w:val="auto"/>
                <w:sz w:val="22"/>
                <w:szCs w:val="22"/>
              </w:rPr>
            </w:pPr>
            <w:r>
              <w:rPr>
                <w:rFonts w:hint="eastAsia"/>
                <w:bCs/>
                <w:color w:val="auto"/>
                <w:sz w:val="22"/>
                <w:szCs w:val="22"/>
              </w:rPr>
              <w:t>审计结果无重大错误、偏差不扣分，每项指标偏差率超过10%扣1分，扣完为止。</w:t>
            </w:r>
          </w:p>
        </w:tc>
        <w:tc>
          <w:tcPr>
            <w:tcW w:w="856" w:type="dxa"/>
            <w:vAlign w:val="center"/>
          </w:tcPr>
          <w:p w14:paraId="3738A1B5">
            <w:pPr>
              <w:pStyle w:val="9"/>
              <w:widowControl/>
              <w:jc w:val="center"/>
              <w:rPr>
                <w:rFonts w:hint="eastAsia"/>
                <w:bCs/>
                <w:color w:val="auto"/>
                <w:sz w:val="22"/>
                <w:szCs w:val="22"/>
              </w:rPr>
            </w:pPr>
            <w:r>
              <w:rPr>
                <w:rFonts w:hint="eastAsia"/>
                <w:bCs/>
                <w:color w:val="auto"/>
                <w:sz w:val="22"/>
                <w:szCs w:val="22"/>
              </w:rPr>
              <w:t>12</w:t>
            </w:r>
          </w:p>
        </w:tc>
        <w:tc>
          <w:tcPr>
            <w:tcW w:w="825" w:type="dxa"/>
            <w:vAlign w:val="center"/>
          </w:tcPr>
          <w:p w14:paraId="2191D06C">
            <w:pPr>
              <w:pStyle w:val="9"/>
              <w:widowControl/>
              <w:jc w:val="center"/>
              <w:rPr>
                <w:rFonts w:hint="eastAsia"/>
                <w:b/>
                <w:bCs/>
                <w:color w:val="auto"/>
                <w:sz w:val="22"/>
                <w:szCs w:val="22"/>
              </w:rPr>
            </w:pPr>
          </w:p>
        </w:tc>
      </w:tr>
      <w:tr w14:paraId="3C9E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29" w:type="dxa"/>
            <w:vAlign w:val="center"/>
          </w:tcPr>
          <w:p w14:paraId="199AF62C">
            <w:pPr>
              <w:pStyle w:val="9"/>
              <w:widowControl/>
              <w:jc w:val="center"/>
              <w:rPr>
                <w:rFonts w:hint="eastAsia"/>
                <w:bCs/>
                <w:color w:val="auto"/>
                <w:sz w:val="22"/>
                <w:szCs w:val="22"/>
              </w:rPr>
            </w:pPr>
            <w:r>
              <w:rPr>
                <w:rFonts w:hint="eastAsia"/>
                <w:bCs/>
                <w:color w:val="auto"/>
                <w:sz w:val="22"/>
                <w:szCs w:val="22"/>
              </w:rPr>
              <w:t>管理建议（4）</w:t>
            </w:r>
          </w:p>
        </w:tc>
        <w:tc>
          <w:tcPr>
            <w:tcW w:w="1702" w:type="dxa"/>
            <w:vAlign w:val="center"/>
          </w:tcPr>
          <w:p w14:paraId="6F9B5012">
            <w:pPr>
              <w:pStyle w:val="9"/>
              <w:widowControl/>
              <w:jc w:val="center"/>
              <w:rPr>
                <w:rFonts w:hint="eastAsia"/>
                <w:bCs/>
                <w:color w:val="auto"/>
                <w:sz w:val="22"/>
                <w:szCs w:val="22"/>
              </w:rPr>
            </w:pPr>
            <w:r>
              <w:rPr>
                <w:rFonts w:hint="eastAsia"/>
                <w:bCs/>
                <w:color w:val="auto"/>
                <w:sz w:val="22"/>
                <w:szCs w:val="22"/>
              </w:rPr>
              <w:t>提出管理建议</w:t>
            </w:r>
          </w:p>
        </w:tc>
        <w:tc>
          <w:tcPr>
            <w:tcW w:w="3775" w:type="dxa"/>
            <w:vAlign w:val="center"/>
          </w:tcPr>
          <w:p w14:paraId="3F109F66">
            <w:pPr>
              <w:pStyle w:val="9"/>
              <w:widowControl/>
              <w:jc w:val="both"/>
              <w:rPr>
                <w:rFonts w:hint="eastAsia"/>
                <w:bCs/>
                <w:color w:val="auto"/>
                <w:sz w:val="22"/>
                <w:szCs w:val="22"/>
              </w:rPr>
            </w:pPr>
            <w:r>
              <w:rPr>
                <w:rFonts w:hint="eastAsia"/>
                <w:bCs/>
                <w:color w:val="auto"/>
                <w:sz w:val="22"/>
                <w:szCs w:val="22"/>
              </w:rPr>
              <w:t>项目实施过程中能根据提出符合企业改革发展实际、有针对性、可操作性和指导性的建议。</w:t>
            </w:r>
          </w:p>
        </w:tc>
        <w:tc>
          <w:tcPr>
            <w:tcW w:w="856" w:type="dxa"/>
            <w:vAlign w:val="center"/>
          </w:tcPr>
          <w:p w14:paraId="5B199F77">
            <w:pPr>
              <w:pStyle w:val="9"/>
              <w:widowControl/>
              <w:jc w:val="center"/>
              <w:rPr>
                <w:rFonts w:hint="eastAsia"/>
                <w:bCs/>
                <w:color w:val="auto"/>
                <w:sz w:val="22"/>
                <w:szCs w:val="22"/>
              </w:rPr>
            </w:pPr>
            <w:r>
              <w:rPr>
                <w:rFonts w:hint="eastAsia"/>
                <w:bCs/>
                <w:color w:val="auto"/>
                <w:sz w:val="22"/>
                <w:szCs w:val="22"/>
              </w:rPr>
              <w:t>4</w:t>
            </w:r>
          </w:p>
        </w:tc>
        <w:tc>
          <w:tcPr>
            <w:tcW w:w="825" w:type="dxa"/>
            <w:vAlign w:val="center"/>
          </w:tcPr>
          <w:p w14:paraId="00AB5881">
            <w:pPr>
              <w:pStyle w:val="9"/>
              <w:widowControl/>
              <w:jc w:val="center"/>
              <w:rPr>
                <w:rFonts w:hint="eastAsia"/>
                <w:b/>
                <w:bCs/>
                <w:color w:val="auto"/>
                <w:sz w:val="22"/>
                <w:szCs w:val="22"/>
              </w:rPr>
            </w:pPr>
          </w:p>
        </w:tc>
      </w:tr>
      <w:tr w14:paraId="4AF7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restart"/>
            <w:vAlign w:val="center"/>
          </w:tcPr>
          <w:p w14:paraId="3C71EBC6">
            <w:pPr>
              <w:pStyle w:val="9"/>
              <w:widowControl/>
              <w:tabs>
                <w:tab w:val="left" w:pos="969"/>
              </w:tabs>
              <w:jc w:val="center"/>
              <w:rPr>
                <w:rFonts w:hint="eastAsia"/>
                <w:bCs/>
                <w:color w:val="auto"/>
                <w:sz w:val="22"/>
                <w:szCs w:val="22"/>
              </w:rPr>
            </w:pPr>
            <w:r>
              <w:rPr>
                <w:rFonts w:hint="eastAsia"/>
                <w:bCs/>
                <w:color w:val="auto"/>
                <w:sz w:val="22"/>
                <w:szCs w:val="22"/>
              </w:rPr>
              <w:t>职业道德（10）</w:t>
            </w:r>
          </w:p>
        </w:tc>
        <w:tc>
          <w:tcPr>
            <w:tcW w:w="1702" w:type="dxa"/>
            <w:vAlign w:val="center"/>
          </w:tcPr>
          <w:p w14:paraId="5F134F80">
            <w:pPr>
              <w:pStyle w:val="9"/>
              <w:widowControl/>
              <w:jc w:val="center"/>
              <w:rPr>
                <w:rFonts w:hint="eastAsia"/>
                <w:bCs/>
                <w:color w:val="auto"/>
                <w:sz w:val="22"/>
                <w:szCs w:val="22"/>
              </w:rPr>
            </w:pPr>
            <w:r>
              <w:rPr>
                <w:rFonts w:hint="eastAsia"/>
                <w:bCs/>
                <w:color w:val="auto"/>
                <w:sz w:val="22"/>
                <w:szCs w:val="22"/>
              </w:rPr>
              <w:t>无弄虚作假、串通舞弊等情况</w:t>
            </w:r>
          </w:p>
        </w:tc>
        <w:tc>
          <w:tcPr>
            <w:tcW w:w="3775" w:type="dxa"/>
            <w:vAlign w:val="center"/>
          </w:tcPr>
          <w:p w14:paraId="71C63AE2">
            <w:pPr>
              <w:pStyle w:val="9"/>
              <w:widowControl/>
              <w:jc w:val="both"/>
              <w:rPr>
                <w:rFonts w:hint="eastAsia"/>
                <w:bCs/>
                <w:color w:val="auto"/>
                <w:sz w:val="22"/>
                <w:szCs w:val="22"/>
              </w:rPr>
            </w:pPr>
            <w:r>
              <w:rPr>
                <w:rFonts w:hint="eastAsia"/>
                <w:bCs/>
                <w:color w:val="auto"/>
                <w:sz w:val="22"/>
                <w:szCs w:val="22"/>
              </w:rPr>
              <w:t>无弄虚作假、串通舞弊等情况不扣分，发现一起该项不得分。</w:t>
            </w:r>
          </w:p>
        </w:tc>
        <w:tc>
          <w:tcPr>
            <w:tcW w:w="856" w:type="dxa"/>
            <w:vAlign w:val="center"/>
          </w:tcPr>
          <w:p w14:paraId="60B3FD5C">
            <w:pPr>
              <w:pStyle w:val="9"/>
              <w:widowControl/>
              <w:jc w:val="center"/>
              <w:rPr>
                <w:rFonts w:hint="eastAsia"/>
                <w:bCs/>
                <w:color w:val="auto"/>
                <w:sz w:val="22"/>
                <w:szCs w:val="22"/>
              </w:rPr>
            </w:pPr>
            <w:r>
              <w:rPr>
                <w:rFonts w:hint="eastAsia"/>
                <w:bCs/>
                <w:color w:val="auto"/>
                <w:sz w:val="22"/>
                <w:szCs w:val="22"/>
              </w:rPr>
              <w:t>4</w:t>
            </w:r>
          </w:p>
        </w:tc>
        <w:tc>
          <w:tcPr>
            <w:tcW w:w="825" w:type="dxa"/>
            <w:vAlign w:val="center"/>
          </w:tcPr>
          <w:p w14:paraId="55561445">
            <w:pPr>
              <w:pStyle w:val="9"/>
              <w:widowControl/>
              <w:jc w:val="center"/>
              <w:rPr>
                <w:rFonts w:hint="eastAsia"/>
                <w:b/>
                <w:bCs/>
                <w:color w:val="auto"/>
                <w:sz w:val="22"/>
                <w:szCs w:val="22"/>
              </w:rPr>
            </w:pPr>
          </w:p>
        </w:tc>
      </w:tr>
      <w:tr w14:paraId="316B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continue"/>
            <w:vAlign w:val="center"/>
          </w:tcPr>
          <w:p w14:paraId="541E5741">
            <w:pPr>
              <w:pStyle w:val="9"/>
              <w:widowControl/>
              <w:tabs>
                <w:tab w:val="left" w:pos="969"/>
              </w:tabs>
              <w:jc w:val="center"/>
              <w:rPr>
                <w:rFonts w:hint="eastAsia"/>
                <w:bCs/>
                <w:color w:val="auto"/>
                <w:sz w:val="22"/>
                <w:szCs w:val="22"/>
              </w:rPr>
            </w:pPr>
          </w:p>
        </w:tc>
        <w:tc>
          <w:tcPr>
            <w:tcW w:w="1702" w:type="dxa"/>
            <w:vAlign w:val="center"/>
          </w:tcPr>
          <w:p w14:paraId="74CF7080">
            <w:pPr>
              <w:pStyle w:val="9"/>
              <w:widowControl/>
              <w:jc w:val="center"/>
              <w:rPr>
                <w:rFonts w:hint="eastAsia"/>
                <w:bCs/>
                <w:color w:val="auto"/>
                <w:sz w:val="22"/>
                <w:szCs w:val="22"/>
              </w:rPr>
            </w:pPr>
            <w:r>
              <w:rPr>
                <w:rFonts w:hint="eastAsia"/>
                <w:bCs/>
                <w:color w:val="auto"/>
                <w:sz w:val="22"/>
                <w:szCs w:val="22"/>
              </w:rPr>
              <w:t>审计工作客观、公正、坚持原则</w:t>
            </w:r>
          </w:p>
        </w:tc>
        <w:tc>
          <w:tcPr>
            <w:tcW w:w="3775" w:type="dxa"/>
            <w:vAlign w:val="center"/>
          </w:tcPr>
          <w:p w14:paraId="78D90990">
            <w:pPr>
              <w:pStyle w:val="9"/>
              <w:widowControl/>
              <w:jc w:val="both"/>
              <w:rPr>
                <w:rFonts w:hint="eastAsia"/>
                <w:bCs/>
                <w:color w:val="auto"/>
                <w:sz w:val="22"/>
                <w:szCs w:val="22"/>
              </w:rPr>
            </w:pPr>
            <w:r>
              <w:rPr>
                <w:rFonts w:hint="eastAsia"/>
                <w:bCs/>
                <w:color w:val="auto"/>
                <w:sz w:val="22"/>
                <w:szCs w:val="22"/>
              </w:rPr>
              <w:t>审计工作流程及审计结果存在不客观、不公正情况该项不得分。</w:t>
            </w:r>
          </w:p>
        </w:tc>
        <w:tc>
          <w:tcPr>
            <w:tcW w:w="856" w:type="dxa"/>
            <w:vAlign w:val="center"/>
          </w:tcPr>
          <w:p w14:paraId="7E8639A9">
            <w:pPr>
              <w:pStyle w:val="9"/>
              <w:widowControl/>
              <w:jc w:val="center"/>
              <w:rPr>
                <w:rFonts w:hint="eastAsia"/>
                <w:bCs/>
                <w:color w:val="auto"/>
                <w:sz w:val="22"/>
                <w:szCs w:val="22"/>
              </w:rPr>
            </w:pPr>
            <w:r>
              <w:rPr>
                <w:rFonts w:hint="eastAsia"/>
                <w:bCs/>
                <w:color w:val="auto"/>
                <w:sz w:val="22"/>
                <w:szCs w:val="22"/>
              </w:rPr>
              <w:t>4</w:t>
            </w:r>
          </w:p>
        </w:tc>
        <w:tc>
          <w:tcPr>
            <w:tcW w:w="825" w:type="dxa"/>
            <w:vAlign w:val="center"/>
          </w:tcPr>
          <w:p w14:paraId="0185365E">
            <w:pPr>
              <w:pStyle w:val="9"/>
              <w:widowControl/>
              <w:jc w:val="center"/>
              <w:rPr>
                <w:rFonts w:hint="eastAsia"/>
                <w:b/>
                <w:bCs/>
                <w:color w:val="auto"/>
                <w:sz w:val="22"/>
                <w:szCs w:val="22"/>
              </w:rPr>
            </w:pPr>
          </w:p>
        </w:tc>
      </w:tr>
      <w:tr w14:paraId="145C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continue"/>
            <w:vAlign w:val="center"/>
          </w:tcPr>
          <w:p w14:paraId="7E974EF5">
            <w:pPr>
              <w:pStyle w:val="9"/>
              <w:widowControl/>
              <w:tabs>
                <w:tab w:val="left" w:pos="969"/>
              </w:tabs>
              <w:jc w:val="center"/>
              <w:rPr>
                <w:rFonts w:hint="eastAsia"/>
                <w:bCs/>
                <w:color w:val="auto"/>
                <w:sz w:val="22"/>
                <w:szCs w:val="22"/>
              </w:rPr>
            </w:pPr>
          </w:p>
        </w:tc>
        <w:tc>
          <w:tcPr>
            <w:tcW w:w="1702" w:type="dxa"/>
            <w:vAlign w:val="center"/>
          </w:tcPr>
          <w:p w14:paraId="55AD86F4">
            <w:pPr>
              <w:pStyle w:val="9"/>
              <w:widowControl/>
              <w:jc w:val="center"/>
              <w:rPr>
                <w:rFonts w:hint="eastAsia"/>
                <w:bCs/>
                <w:color w:val="auto"/>
                <w:sz w:val="22"/>
                <w:szCs w:val="22"/>
              </w:rPr>
            </w:pPr>
            <w:r>
              <w:rPr>
                <w:rFonts w:hint="eastAsia"/>
                <w:bCs/>
                <w:color w:val="auto"/>
                <w:sz w:val="22"/>
                <w:szCs w:val="22"/>
              </w:rPr>
              <w:t>数据安全及保密工作</w:t>
            </w:r>
          </w:p>
        </w:tc>
        <w:tc>
          <w:tcPr>
            <w:tcW w:w="3775" w:type="dxa"/>
            <w:vAlign w:val="center"/>
          </w:tcPr>
          <w:p w14:paraId="5072250D">
            <w:pPr>
              <w:pStyle w:val="9"/>
              <w:widowControl/>
              <w:jc w:val="both"/>
              <w:rPr>
                <w:rFonts w:hint="eastAsia"/>
                <w:bCs/>
                <w:color w:val="auto"/>
                <w:sz w:val="22"/>
                <w:szCs w:val="22"/>
              </w:rPr>
            </w:pPr>
            <w:r>
              <w:rPr>
                <w:rFonts w:hint="eastAsia"/>
                <w:bCs/>
                <w:color w:val="auto"/>
                <w:sz w:val="22"/>
                <w:szCs w:val="22"/>
              </w:rPr>
              <w:t>做好数据安全管理工作，保守被审计单位商业秘密，发现泄密情况该项不得分。</w:t>
            </w:r>
          </w:p>
        </w:tc>
        <w:tc>
          <w:tcPr>
            <w:tcW w:w="856" w:type="dxa"/>
            <w:vAlign w:val="center"/>
          </w:tcPr>
          <w:p w14:paraId="42E5B50A">
            <w:pPr>
              <w:pStyle w:val="9"/>
              <w:widowControl/>
              <w:jc w:val="center"/>
              <w:rPr>
                <w:rFonts w:hint="eastAsia"/>
                <w:bCs/>
                <w:color w:val="auto"/>
                <w:sz w:val="22"/>
                <w:szCs w:val="22"/>
              </w:rPr>
            </w:pPr>
            <w:r>
              <w:rPr>
                <w:rFonts w:hint="eastAsia"/>
                <w:bCs/>
                <w:color w:val="auto"/>
                <w:sz w:val="22"/>
                <w:szCs w:val="22"/>
              </w:rPr>
              <w:t>2</w:t>
            </w:r>
          </w:p>
        </w:tc>
        <w:tc>
          <w:tcPr>
            <w:tcW w:w="825" w:type="dxa"/>
            <w:vAlign w:val="center"/>
          </w:tcPr>
          <w:p w14:paraId="7936FC19">
            <w:pPr>
              <w:pStyle w:val="9"/>
              <w:widowControl/>
              <w:jc w:val="center"/>
              <w:rPr>
                <w:rFonts w:hint="eastAsia"/>
                <w:b/>
                <w:bCs/>
                <w:color w:val="auto"/>
                <w:sz w:val="22"/>
                <w:szCs w:val="22"/>
              </w:rPr>
            </w:pPr>
          </w:p>
        </w:tc>
      </w:tr>
      <w:tr w14:paraId="414C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29" w:type="dxa"/>
            <w:vMerge w:val="restart"/>
            <w:vAlign w:val="center"/>
          </w:tcPr>
          <w:p w14:paraId="51BAB7AA">
            <w:pPr>
              <w:pStyle w:val="9"/>
              <w:widowControl/>
              <w:tabs>
                <w:tab w:val="left" w:pos="969"/>
              </w:tabs>
              <w:jc w:val="center"/>
              <w:rPr>
                <w:rFonts w:hint="eastAsia"/>
                <w:bCs/>
                <w:color w:val="auto"/>
                <w:sz w:val="22"/>
                <w:szCs w:val="22"/>
              </w:rPr>
            </w:pPr>
            <w:r>
              <w:rPr>
                <w:rFonts w:hint="eastAsia"/>
                <w:bCs/>
                <w:color w:val="auto"/>
                <w:sz w:val="22"/>
                <w:szCs w:val="22"/>
              </w:rPr>
              <w:t>协调机制（10）</w:t>
            </w:r>
          </w:p>
        </w:tc>
        <w:tc>
          <w:tcPr>
            <w:tcW w:w="1702" w:type="dxa"/>
            <w:vAlign w:val="center"/>
          </w:tcPr>
          <w:p w14:paraId="18203AE3">
            <w:pPr>
              <w:pStyle w:val="9"/>
              <w:widowControl/>
              <w:jc w:val="center"/>
              <w:rPr>
                <w:rFonts w:hint="eastAsia"/>
                <w:bCs/>
                <w:color w:val="auto"/>
                <w:sz w:val="22"/>
                <w:szCs w:val="22"/>
              </w:rPr>
            </w:pPr>
            <w:r>
              <w:rPr>
                <w:rFonts w:hint="eastAsia"/>
                <w:bCs/>
                <w:color w:val="auto"/>
                <w:sz w:val="22"/>
                <w:szCs w:val="22"/>
              </w:rPr>
              <w:t>与委托单位</w:t>
            </w:r>
          </w:p>
        </w:tc>
        <w:tc>
          <w:tcPr>
            <w:tcW w:w="3775" w:type="dxa"/>
            <w:vAlign w:val="center"/>
          </w:tcPr>
          <w:p w14:paraId="42415FB5">
            <w:pPr>
              <w:pStyle w:val="9"/>
              <w:widowControl/>
              <w:jc w:val="both"/>
              <w:rPr>
                <w:rFonts w:hint="eastAsia"/>
                <w:bCs/>
                <w:color w:val="auto"/>
                <w:sz w:val="22"/>
                <w:szCs w:val="22"/>
              </w:rPr>
            </w:pPr>
            <w:r>
              <w:rPr>
                <w:rFonts w:hint="eastAsia"/>
                <w:bCs/>
                <w:color w:val="auto"/>
                <w:sz w:val="22"/>
                <w:szCs w:val="22"/>
              </w:rPr>
              <w:t>做好与相关单位审计工作协调沟通机制，审计过程中因审计单位原因与委托单位发生纠纷或口角，情节较轻的扣2分，情节严重的该项不得分。</w:t>
            </w:r>
          </w:p>
        </w:tc>
        <w:tc>
          <w:tcPr>
            <w:tcW w:w="856" w:type="dxa"/>
            <w:vAlign w:val="center"/>
          </w:tcPr>
          <w:p w14:paraId="03704F39">
            <w:pPr>
              <w:pStyle w:val="9"/>
              <w:widowControl/>
              <w:jc w:val="center"/>
              <w:rPr>
                <w:rFonts w:hint="eastAsia"/>
                <w:bCs/>
                <w:color w:val="auto"/>
                <w:sz w:val="22"/>
                <w:szCs w:val="22"/>
              </w:rPr>
            </w:pPr>
            <w:r>
              <w:rPr>
                <w:rFonts w:hint="eastAsia"/>
                <w:bCs/>
                <w:color w:val="auto"/>
                <w:sz w:val="22"/>
                <w:szCs w:val="22"/>
              </w:rPr>
              <w:t>5</w:t>
            </w:r>
          </w:p>
        </w:tc>
        <w:tc>
          <w:tcPr>
            <w:tcW w:w="825" w:type="dxa"/>
            <w:vAlign w:val="center"/>
          </w:tcPr>
          <w:p w14:paraId="6C4D8113">
            <w:pPr>
              <w:pStyle w:val="9"/>
              <w:widowControl/>
              <w:jc w:val="center"/>
              <w:rPr>
                <w:rFonts w:hint="eastAsia"/>
                <w:b/>
                <w:bCs/>
                <w:color w:val="auto"/>
                <w:sz w:val="22"/>
                <w:szCs w:val="22"/>
              </w:rPr>
            </w:pPr>
          </w:p>
        </w:tc>
      </w:tr>
      <w:tr w14:paraId="1250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729" w:type="dxa"/>
            <w:vMerge w:val="continue"/>
            <w:vAlign w:val="center"/>
          </w:tcPr>
          <w:p w14:paraId="26AEAAB4">
            <w:pPr>
              <w:pStyle w:val="9"/>
              <w:widowControl/>
              <w:tabs>
                <w:tab w:val="left" w:pos="969"/>
              </w:tabs>
              <w:jc w:val="center"/>
              <w:rPr>
                <w:rFonts w:hint="eastAsia"/>
                <w:bCs/>
                <w:color w:val="auto"/>
                <w:sz w:val="22"/>
                <w:szCs w:val="22"/>
              </w:rPr>
            </w:pPr>
          </w:p>
        </w:tc>
        <w:tc>
          <w:tcPr>
            <w:tcW w:w="1702" w:type="dxa"/>
            <w:vAlign w:val="center"/>
          </w:tcPr>
          <w:p w14:paraId="4EFBB739">
            <w:pPr>
              <w:pStyle w:val="9"/>
              <w:widowControl/>
              <w:jc w:val="center"/>
              <w:rPr>
                <w:rFonts w:hint="eastAsia"/>
                <w:bCs/>
                <w:color w:val="auto"/>
                <w:sz w:val="22"/>
                <w:szCs w:val="22"/>
              </w:rPr>
            </w:pPr>
            <w:r>
              <w:rPr>
                <w:rFonts w:hint="eastAsia"/>
                <w:bCs/>
                <w:color w:val="auto"/>
                <w:sz w:val="22"/>
                <w:szCs w:val="22"/>
              </w:rPr>
              <w:t>与被审计单位</w:t>
            </w:r>
          </w:p>
        </w:tc>
        <w:tc>
          <w:tcPr>
            <w:tcW w:w="3775" w:type="dxa"/>
            <w:vAlign w:val="center"/>
          </w:tcPr>
          <w:p w14:paraId="1207BE96">
            <w:pPr>
              <w:pStyle w:val="9"/>
              <w:widowControl/>
              <w:jc w:val="both"/>
              <w:rPr>
                <w:rFonts w:hint="eastAsia"/>
                <w:bCs/>
                <w:color w:val="auto"/>
                <w:sz w:val="22"/>
                <w:szCs w:val="22"/>
              </w:rPr>
            </w:pPr>
            <w:r>
              <w:rPr>
                <w:rFonts w:hint="eastAsia"/>
                <w:bCs/>
                <w:color w:val="auto"/>
                <w:sz w:val="22"/>
                <w:szCs w:val="22"/>
              </w:rPr>
              <w:t>做好与相关单位审计工作协调沟通机制，充分交换意见，审计过程中因审计单位原因与被审计单位发生纠纷或口角，情节较轻的扣2分，情节严重的该项不得分。</w:t>
            </w:r>
          </w:p>
        </w:tc>
        <w:tc>
          <w:tcPr>
            <w:tcW w:w="856" w:type="dxa"/>
            <w:vAlign w:val="center"/>
          </w:tcPr>
          <w:p w14:paraId="647BF29C">
            <w:pPr>
              <w:pStyle w:val="9"/>
              <w:widowControl/>
              <w:jc w:val="center"/>
              <w:rPr>
                <w:rFonts w:hint="eastAsia"/>
                <w:bCs/>
                <w:color w:val="auto"/>
                <w:sz w:val="22"/>
                <w:szCs w:val="22"/>
              </w:rPr>
            </w:pPr>
            <w:r>
              <w:rPr>
                <w:rFonts w:hint="eastAsia"/>
                <w:bCs/>
                <w:color w:val="auto"/>
                <w:sz w:val="22"/>
                <w:szCs w:val="22"/>
              </w:rPr>
              <w:t>5</w:t>
            </w:r>
          </w:p>
        </w:tc>
        <w:tc>
          <w:tcPr>
            <w:tcW w:w="825" w:type="dxa"/>
            <w:vAlign w:val="center"/>
          </w:tcPr>
          <w:p w14:paraId="4CAD33C2">
            <w:pPr>
              <w:pStyle w:val="9"/>
              <w:widowControl/>
              <w:jc w:val="center"/>
              <w:rPr>
                <w:rFonts w:hint="eastAsia"/>
                <w:b/>
                <w:bCs/>
                <w:color w:val="auto"/>
                <w:sz w:val="22"/>
                <w:szCs w:val="22"/>
              </w:rPr>
            </w:pPr>
          </w:p>
        </w:tc>
      </w:tr>
      <w:tr w14:paraId="24C7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29" w:type="dxa"/>
            <w:vAlign w:val="center"/>
          </w:tcPr>
          <w:p w14:paraId="239ED01F">
            <w:pPr>
              <w:pStyle w:val="9"/>
              <w:widowControl/>
              <w:tabs>
                <w:tab w:val="left" w:pos="969"/>
              </w:tabs>
              <w:jc w:val="center"/>
              <w:rPr>
                <w:rFonts w:hint="eastAsia"/>
                <w:bCs/>
                <w:color w:val="auto"/>
                <w:sz w:val="22"/>
                <w:szCs w:val="22"/>
              </w:rPr>
            </w:pPr>
            <w:r>
              <w:rPr>
                <w:rFonts w:hint="eastAsia"/>
                <w:bCs/>
                <w:color w:val="auto"/>
                <w:sz w:val="22"/>
                <w:szCs w:val="22"/>
              </w:rPr>
              <w:t>考核评分</w:t>
            </w:r>
          </w:p>
        </w:tc>
        <w:tc>
          <w:tcPr>
            <w:tcW w:w="7158" w:type="dxa"/>
            <w:gridSpan w:val="4"/>
            <w:vAlign w:val="center"/>
          </w:tcPr>
          <w:p w14:paraId="55559095">
            <w:pPr>
              <w:pStyle w:val="9"/>
              <w:widowControl/>
              <w:jc w:val="both"/>
              <w:rPr>
                <w:rFonts w:hint="eastAsia"/>
                <w:b/>
                <w:bCs/>
                <w:color w:val="auto"/>
                <w:sz w:val="22"/>
                <w:szCs w:val="22"/>
              </w:rPr>
            </w:pPr>
          </w:p>
        </w:tc>
      </w:tr>
      <w:tr w14:paraId="4A1F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7" w:type="dxa"/>
            <w:gridSpan w:val="5"/>
            <w:vAlign w:val="center"/>
          </w:tcPr>
          <w:p w14:paraId="080010B3">
            <w:pPr>
              <w:pStyle w:val="9"/>
              <w:widowControl/>
              <w:tabs>
                <w:tab w:val="left" w:pos="969"/>
              </w:tabs>
              <w:jc w:val="both"/>
              <w:rPr>
                <w:rFonts w:hint="eastAsia"/>
                <w:b/>
                <w:bCs/>
                <w:color w:val="auto"/>
                <w:sz w:val="22"/>
                <w:szCs w:val="22"/>
              </w:rPr>
            </w:pPr>
            <w:r>
              <w:rPr>
                <w:rFonts w:hint="eastAsia"/>
                <w:bCs/>
                <w:color w:val="auto"/>
                <w:sz w:val="22"/>
                <w:szCs w:val="22"/>
              </w:rPr>
              <w:t>备注：在审计过程中有行贿受贿、徇私枉法，给甲方或被审计单位造成损失的，发现一次，整个单位考核为0分。</w:t>
            </w:r>
          </w:p>
        </w:tc>
      </w:tr>
    </w:tbl>
    <w:p w14:paraId="2CE007C7">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3.考核评分：由甲方或甲方委托的第三方专业机构对被考核对象进行独立考核得出考核评分。如被考核对象因行贿受贿、徇私枉法等给国家或被审计单位造成损失的，其考核评分为0分。</w:t>
      </w:r>
    </w:p>
    <w:p w14:paraId="43E301E6">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4.分期考核结果应用：对考核得分≥80分的被考核对象，全额支付审计服务费；对80分＞考核得分≥60分的被考核对象，扣除20%审计服务费；对60分＞考核得分≥0分的被考核对象，扣除30%审计服务费。</w:t>
      </w:r>
    </w:p>
    <w:p w14:paraId="2FD35E11">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5.项目完成、审计报告出具后，经采购人确认符合相关规定后，乙方可申请履约验收。采购人原则上应在乙方提出验收申请后10个工作日内组织验收。</w:t>
      </w:r>
    </w:p>
    <w:p w14:paraId="08C3AA14">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甲方成立验收小组，按照采购合同的约定对乙方的履约情况进行验收。验收结束后，验收小组出具验收书，列明各项标准的验收情况及项目总体评价，由验收双方共同签署。验收结果与采购合同约定的资金支付条件挂钩。</w:t>
      </w:r>
    </w:p>
    <w:p w14:paraId="5970486B">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验收合格的项目，甲方根据采购合同的约定及时向乙方支付合同款项。验收不合格的项目，甲方依法及时处理。采购合同的履行、违约责任和解决争议的方式等适用《民法典》。乙方在履约过程中有法律法规规定的违法违规情形的，甲方将依法处理。</w:t>
      </w:r>
    </w:p>
    <w:p w14:paraId="5F0D628C">
      <w:pPr>
        <w:jc w:val="left"/>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E3977"/>
    <w:rsid w:val="005D3AF4"/>
    <w:rsid w:val="008A3DC4"/>
    <w:rsid w:val="22395DB5"/>
    <w:rsid w:val="38C84C0F"/>
    <w:rsid w:val="5BFE3977"/>
    <w:rsid w:val="66E87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qFormat/>
    <w:uiPriority w:val="0"/>
    <w:pPr>
      <w:spacing w:line="520" w:lineRule="exact"/>
      <w:ind w:left="570"/>
    </w:pPr>
    <w:rPr>
      <w:rFonts w:ascii="方正仿宋简体" w:hAnsi="创艺简仿宋" w:eastAsia="方正仿宋简体"/>
      <w:sz w:val="24"/>
    </w:rPr>
  </w:style>
  <w:style w:type="paragraph" w:styleId="4">
    <w:name w:val="envelope return"/>
    <w:basedOn w:val="1"/>
    <w:unhideWhenUsed/>
    <w:qFormat/>
    <w:uiPriority w:val="99"/>
    <w:pPr>
      <w:snapToGrid w:val="0"/>
    </w:pPr>
    <w:rPr>
      <w:rFonts w:ascii="Arial" w:hAnsi="Arial"/>
    </w:rPr>
  </w:style>
  <w:style w:type="paragraph" w:customStyle="1" w:styleId="7">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8">
    <w:name w:val="正文1"/>
    <w:qFormat/>
    <w:uiPriority w:val="0"/>
    <w:pPr>
      <w:spacing w:line="240" w:lineRule="atLeast"/>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9">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2866</Words>
  <Characters>2949</Characters>
  <Lines>2</Lines>
  <Paragraphs>7</Paragraphs>
  <TotalTime>0</TotalTime>
  <ScaleCrop>false</ScaleCrop>
  <LinksUpToDate>false</LinksUpToDate>
  <CharactersWithSpaces>2949</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2026-01-26T09:17:00Z</dcterms:created>
  <dc:creator>le</dc:creator>
  <cp:lastModifiedBy>le</cp:lastModifiedBy>
  <dcterms:modified xsi:type="dcterms:W3CDTF">2026-01-29T06:21:06Z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9E9CC59191154F33892905D55030FAAE_11</vt:lpwstr>
  </property>
  <property fmtid="{D5CDD505-2E9C-101B-9397-08002B2CF9AE}" pid="4" name="KSOTemplateDocerSaveRecord">
    <vt:lpwstr>eyJoZGlkIjoiNzc3NGZiODMwZWIxNGQ1ZGM3NzU3NzM0MzJmZjJlOWYiLCJ1c2VySWQiOiIxMjY5NzgzNzg4In0=</vt:lpwstr>
  </property>
</Properties>
</file>