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480" w:lineRule="exact"/>
        <w:ind w:left="0" w:leftChars="0" w:firstLine="0" w:firstLineChars="0"/>
        <w:jc w:val="center"/>
        <w:textAlignment w:val="auto"/>
        <w:rPr>
          <w:rFonts w:hint="eastAsia" w:ascii="宋体" w:hAnsi="宋体" w:eastAsia="宋体" w:cs="宋体"/>
          <w:sz w:val="32"/>
          <w:szCs w:val="32"/>
        </w:rPr>
      </w:pPr>
    </w:p>
    <w:p>
      <w:pPr>
        <w:widowControl/>
        <w:snapToGrid w:val="0"/>
        <w:spacing w:line="580" w:lineRule="atLeast"/>
        <w:rPr>
          <w:rFonts w:hint="eastAsia" w:ascii="仿宋_GB2312" w:hAnsi="宋体" w:eastAsia="仿宋_GB2312"/>
          <w:color w:val="333333"/>
          <w:kern w:val="0"/>
          <w:sz w:val="32"/>
          <w:szCs w:val="32"/>
        </w:rPr>
      </w:pPr>
      <w:bookmarkStart w:id="0" w:name="MOFFICE_OUTDOC_NTDOC__WENHAO"/>
      <w:r>
        <w:rPr>
          <w:rFonts w:hint="eastAsia" w:ascii="仿宋_GB2312" w:hAnsi="宋体" w:eastAsia="仿宋_GB2312"/>
          <w:color w:val="333333"/>
          <w:kern w:val="0"/>
          <w:sz w:val="32"/>
          <w:szCs w:val="32"/>
        </w:rPr>
        <w:t>附件1</w:t>
      </w:r>
    </w:p>
    <w:p>
      <w:pPr>
        <w:widowControl/>
        <w:snapToGrid w:val="0"/>
        <w:spacing w:line="580" w:lineRule="atLeast"/>
        <w:ind w:firstLine="200"/>
        <w:jc w:val="left"/>
        <w:rPr>
          <w:rFonts w:hint="eastAsia" w:ascii="仿宋_GB2312" w:hAnsi="宋体" w:eastAsia="仿宋_GB2312"/>
          <w:color w:val="333333"/>
          <w:kern w:val="0"/>
          <w:sz w:val="32"/>
          <w:szCs w:val="32"/>
        </w:rPr>
      </w:pPr>
    </w:p>
    <w:p>
      <w:pPr>
        <w:widowControl/>
        <w:snapToGrid w:val="0"/>
        <w:spacing w:line="580" w:lineRule="atLeast"/>
        <w:ind w:firstLine="200"/>
        <w:jc w:val="center"/>
        <w:rPr>
          <w:rFonts w:hint="eastAsia" w:ascii="宋体" w:hAnsi="宋体"/>
          <w:b/>
          <w:color w:val="333333"/>
          <w:kern w:val="0"/>
          <w:sz w:val="36"/>
          <w:szCs w:val="36"/>
        </w:rPr>
      </w:pPr>
      <w:r>
        <w:rPr>
          <w:rFonts w:hint="eastAsia" w:asciiTheme="minorEastAsia" w:hAnsiTheme="minorEastAsia" w:eastAsiaTheme="minorEastAsia" w:cstheme="minorEastAsia"/>
          <w:b w:val="0"/>
          <w:bCs/>
          <w:color w:val="333333"/>
          <w:kern w:val="0"/>
          <w:sz w:val="36"/>
          <w:szCs w:val="36"/>
        </w:rPr>
        <w:t>行政事业单位国有资产调拨及处置申报材料</w:t>
      </w:r>
    </w:p>
    <w:p>
      <w:pPr>
        <w:widowControl/>
        <w:snapToGrid w:val="0"/>
        <w:spacing w:line="580" w:lineRule="atLeast"/>
        <w:ind w:firstLine="640" w:firstLineChars="200"/>
        <w:jc w:val="left"/>
        <w:rPr>
          <w:rFonts w:hint="eastAsia" w:eastAsia="仿宋_GB2312"/>
          <w:color w:val="333333"/>
          <w:kern w:val="0"/>
          <w:sz w:val="32"/>
          <w:szCs w:val="32"/>
        </w:rPr>
      </w:pPr>
    </w:p>
    <w:p>
      <w:pPr>
        <w:widowControl/>
        <w:snapToGrid w:val="0"/>
        <w:spacing w:line="580" w:lineRule="atLeast"/>
        <w:ind w:firstLine="643" w:firstLineChars="200"/>
        <w:jc w:val="left"/>
        <w:rPr>
          <w:rFonts w:hint="eastAsia" w:eastAsia="仿宋_GB2312"/>
          <w:b/>
          <w:color w:val="333333"/>
          <w:kern w:val="0"/>
          <w:sz w:val="32"/>
          <w:szCs w:val="32"/>
        </w:rPr>
      </w:pPr>
      <w:r>
        <w:rPr>
          <w:rFonts w:eastAsia="仿宋_GB2312"/>
          <w:b/>
          <w:color w:val="333333"/>
          <w:kern w:val="0"/>
          <w:sz w:val="32"/>
          <w:szCs w:val="32"/>
        </w:rPr>
        <w:t>一、 资产</w:t>
      </w:r>
      <w:r>
        <w:rPr>
          <w:rFonts w:eastAsia="仿宋_GB2312"/>
          <w:b/>
          <w:kern w:val="0"/>
          <w:sz w:val="32"/>
          <w:szCs w:val="32"/>
        </w:rPr>
        <w:t>调拨</w:t>
      </w:r>
      <w:r>
        <w:rPr>
          <w:rFonts w:hint="eastAsia" w:eastAsia="仿宋_GB2312"/>
          <w:b/>
          <w:color w:val="333333"/>
          <w:kern w:val="0"/>
          <w:sz w:val="32"/>
          <w:szCs w:val="32"/>
        </w:rPr>
        <w:t>（划拨）</w:t>
      </w:r>
      <w:r>
        <w:rPr>
          <w:rFonts w:eastAsia="仿宋_GB2312"/>
          <w:b/>
          <w:color w:val="333333"/>
          <w:kern w:val="0"/>
          <w:sz w:val="32"/>
          <w:szCs w:val="32"/>
        </w:rPr>
        <w:t>应提交以下材料：</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（一）资产</w:t>
      </w:r>
      <w:r>
        <w:rPr>
          <w:rFonts w:eastAsia="仿宋_GB2312"/>
          <w:kern w:val="0"/>
          <w:sz w:val="32"/>
          <w:szCs w:val="32"/>
        </w:rPr>
        <w:t>调拨</w:t>
      </w:r>
      <w:r>
        <w:rPr>
          <w:rFonts w:hint="eastAsia" w:eastAsia="仿宋_GB2312"/>
          <w:color w:val="333333"/>
          <w:kern w:val="0"/>
          <w:sz w:val="32"/>
          <w:szCs w:val="32"/>
        </w:rPr>
        <w:t>（划拨）</w:t>
      </w:r>
      <w:r>
        <w:rPr>
          <w:rFonts w:eastAsia="仿宋_GB2312"/>
          <w:color w:val="333333"/>
          <w:kern w:val="0"/>
          <w:sz w:val="32"/>
          <w:szCs w:val="32"/>
        </w:rPr>
        <w:t>申请；</w:t>
      </w:r>
    </w:p>
    <w:p>
      <w:pPr>
        <w:widowControl/>
        <w:snapToGrid w:val="0"/>
        <w:spacing w:line="580" w:lineRule="atLeast"/>
        <w:ind w:firstLine="640" w:firstLineChars="200"/>
        <w:jc w:val="left"/>
        <w:rPr>
          <w:rFonts w:hint="eastAsia" w:eastAsia="仿宋_GB2312"/>
          <w:color w:val="333333"/>
          <w:kern w:val="0"/>
          <w:sz w:val="32"/>
          <w:szCs w:val="32"/>
        </w:rPr>
      </w:pPr>
      <w:r>
        <w:rPr>
          <w:rFonts w:eastAsia="仿宋_GB2312"/>
          <w:color w:val="333333"/>
          <w:kern w:val="0"/>
          <w:sz w:val="32"/>
          <w:szCs w:val="32"/>
        </w:rPr>
        <w:t>（二）</w:t>
      </w:r>
      <w:r>
        <w:rPr>
          <w:rFonts w:hint="eastAsia" w:eastAsia="仿宋_GB2312"/>
          <w:color w:val="333333"/>
          <w:kern w:val="0"/>
          <w:sz w:val="32"/>
          <w:szCs w:val="32"/>
        </w:rPr>
        <w:t>使用市财政局资产管理系统的市直单位从资产管理系统打印</w:t>
      </w:r>
      <w:r>
        <w:rPr>
          <w:rFonts w:eastAsia="仿宋_GB2312"/>
          <w:color w:val="333333"/>
          <w:kern w:val="0"/>
          <w:sz w:val="32"/>
          <w:szCs w:val="32"/>
        </w:rPr>
        <w:t>《行政事业单位国有资产调拨</w:t>
      </w:r>
      <w:r>
        <w:rPr>
          <w:rFonts w:hint="eastAsia" w:eastAsia="仿宋_GB2312"/>
          <w:color w:val="333333"/>
          <w:kern w:val="0"/>
          <w:sz w:val="32"/>
          <w:szCs w:val="32"/>
        </w:rPr>
        <w:t>（划拨）报</w:t>
      </w:r>
      <w:r>
        <w:rPr>
          <w:rFonts w:eastAsia="仿宋_GB2312"/>
          <w:color w:val="333333"/>
          <w:kern w:val="0"/>
          <w:sz w:val="32"/>
          <w:szCs w:val="32"/>
        </w:rPr>
        <w:t>批表》</w:t>
      </w:r>
      <w:r>
        <w:rPr>
          <w:rFonts w:hint="eastAsia" w:ascii="仿宋_GB2312" w:hAnsi="宋体" w:eastAsia="仿宋_GB2312"/>
          <w:color w:val="333333"/>
          <w:sz w:val="32"/>
          <w:szCs w:val="32"/>
        </w:rPr>
        <w:t>（表式见附件2）</w:t>
      </w:r>
      <w:r>
        <w:rPr>
          <w:rFonts w:hint="eastAsia" w:eastAsia="仿宋_GB2312"/>
          <w:color w:val="333333"/>
          <w:kern w:val="0"/>
          <w:sz w:val="32"/>
          <w:szCs w:val="32"/>
        </w:rPr>
        <w:t>，不使用的市直单位填该审批表的电子表式。</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（三）单位分立、撤销、合并，以及隶属关系改变等有关批准文件；</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（四）产权权属证明复印件（如处置房屋建筑物和国有土地，需提供土地来源证明、国有土地使用证、房屋所有权证、建设用地批准证等，以及拟处置的房屋建筑物和土地坐落、面积、规划用途）；</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（五）资产价值的有效凭证复印件（如购货发票或收据、记账凭单、工程决算</w:t>
      </w:r>
      <w:r>
        <w:rPr>
          <w:rFonts w:hint="eastAsia" w:eastAsia="仿宋_GB2312"/>
          <w:color w:val="333333"/>
          <w:kern w:val="0"/>
          <w:sz w:val="32"/>
          <w:szCs w:val="32"/>
        </w:rPr>
        <w:t>或审计报告、</w:t>
      </w:r>
      <w:r>
        <w:rPr>
          <w:rFonts w:eastAsia="仿宋_GB2312"/>
          <w:color w:val="333333"/>
          <w:kern w:val="0"/>
          <w:sz w:val="32"/>
          <w:szCs w:val="32"/>
        </w:rPr>
        <w:t>固定资产卡片等，需加盖单位公章）；</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（六）资产目前的使用情况及</w:t>
      </w:r>
      <w:r>
        <w:rPr>
          <w:rFonts w:eastAsia="仿宋_GB2312"/>
          <w:color w:val="000000"/>
          <w:kern w:val="0"/>
          <w:sz w:val="32"/>
          <w:szCs w:val="32"/>
        </w:rPr>
        <w:t>受让方基本情况</w:t>
      </w:r>
      <w:r>
        <w:rPr>
          <w:rFonts w:eastAsia="仿宋_GB2312"/>
          <w:color w:val="333333"/>
          <w:kern w:val="0"/>
          <w:sz w:val="32"/>
          <w:szCs w:val="32"/>
        </w:rPr>
        <w:t>说明</w:t>
      </w:r>
      <w:r>
        <w:rPr>
          <w:rFonts w:eastAsia="仿宋_GB2312"/>
          <w:color w:val="000000"/>
          <w:kern w:val="0"/>
          <w:sz w:val="32"/>
          <w:szCs w:val="32"/>
        </w:rPr>
        <w:t>；</w:t>
      </w:r>
    </w:p>
    <w:p>
      <w:pPr>
        <w:widowControl/>
        <w:snapToGrid w:val="0"/>
        <w:spacing w:line="580" w:lineRule="atLeast"/>
        <w:ind w:firstLine="640" w:firstLineChars="200"/>
        <w:jc w:val="left"/>
        <w:rPr>
          <w:rFonts w:eastAsia="仿宋_GB2312"/>
          <w:color w:val="333333"/>
          <w:kern w:val="0"/>
          <w:sz w:val="32"/>
          <w:szCs w:val="32"/>
        </w:rPr>
      </w:pPr>
      <w:r>
        <w:rPr>
          <w:rFonts w:eastAsia="仿宋_GB2312"/>
          <w:color w:val="333333"/>
          <w:kern w:val="0"/>
          <w:sz w:val="32"/>
          <w:szCs w:val="32"/>
        </w:rPr>
        <w:t>（七）单位资产处置公示报告，主要内容包括：公示形式、内容、时间、地点、公示结果以及对相关意见的处理等情况；</w:t>
      </w:r>
    </w:p>
    <w:p>
      <w:pPr>
        <w:widowControl/>
        <w:snapToGrid w:val="0"/>
        <w:spacing w:line="580" w:lineRule="atLeast"/>
        <w:ind w:firstLine="640" w:firstLineChars="200"/>
        <w:jc w:val="left"/>
        <w:rPr>
          <w:rFonts w:eastAsia="仿宋_GB2312"/>
          <w:kern w:val="0"/>
          <w:sz w:val="32"/>
          <w:szCs w:val="32"/>
          <w:lang w:val="zh-CN"/>
        </w:rPr>
      </w:pPr>
      <w:r>
        <w:rPr>
          <w:rFonts w:eastAsia="仿宋_GB2312"/>
          <w:color w:val="333333"/>
          <w:kern w:val="0"/>
          <w:sz w:val="32"/>
          <w:szCs w:val="32"/>
        </w:rPr>
        <w:t>（八）</w:t>
      </w:r>
      <w:r>
        <w:rPr>
          <w:rFonts w:eastAsia="仿宋_GB2312"/>
          <w:kern w:val="0"/>
          <w:sz w:val="32"/>
          <w:szCs w:val="32"/>
          <w:lang w:val="zh-CN"/>
        </w:rPr>
        <w:t>审批部门认为需要提供的其他资料。</w:t>
      </w:r>
    </w:p>
    <w:p>
      <w:pPr>
        <w:widowControl/>
        <w:snapToGrid w:val="0"/>
        <w:spacing w:line="580" w:lineRule="atLeast"/>
        <w:ind w:firstLine="643" w:firstLineChars="200"/>
        <w:jc w:val="left"/>
        <w:rPr>
          <w:rFonts w:hint="eastAsia" w:eastAsia="仿宋_GB2312"/>
          <w:b/>
          <w:color w:val="333333"/>
          <w:kern w:val="0"/>
          <w:sz w:val="32"/>
          <w:szCs w:val="32"/>
        </w:rPr>
      </w:pPr>
      <w:r>
        <w:rPr>
          <w:rFonts w:eastAsia="仿宋_GB2312"/>
          <w:b/>
          <w:color w:val="333333"/>
          <w:kern w:val="0"/>
          <w:sz w:val="32"/>
          <w:szCs w:val="32"/>
        </w:rPr>
        <w:t>二、 </w:t>
      </w:r>
      <w:r>
        <w:rPr>
          <w:rFonts w:hint="eastAsia" w:eastAsia="仿宋_GB2312"/>
          <w:b/>
          <w:color w:val="333333"/>
          <w:kern w:val="0"/>
          <w:sz w:val="32"/>
          <w:szCs w:val="32"/>
        </w:rPr>
        <w:t>其他</w:t>
      </w:r>
      <w:r>
        <w:rPr>
          <w:rFonts w:eastAsia="仿宋_GB2312"/>
          <w:b/>
          <w:color w:val="333333"/>
          <w:kern w:val="0"/>
          <w:sz w:val="32"/>
          <w:szCs w:val="32"/>
        </w:rPr>
        <w:t>资产</w:t>
      </w:r>
      <w:r>
        <w:rPr>
          <w:rFonts w:hint="eastAsia" w:eastAsia="仿宋_GB2312"/>
          <w:b/>
          <w:color w:val="333333"/>
          <w:kern w:val="0"/>
          <w:sz w:val="32"/>
          <w:szCs w:val="32"/>
        </w:rPr>
        <w:t>处置</w:t>
      </w:r>
      <w:r>
        <w:rPr>
          <w:rFonts w:eastAsia="仿宋_GB2312"/>
          <w:b/>
          <w:color w:val="333333"/>
          <w:kern w:val="0"/>
          <w:sz w:val="32"/>
          <w:szCs w:val="32"/>
        </w:rPr>
        <w:t>应提交以下材料</w:t>
      </w:r>
      <w:r>
        <w:rPr>
          <w:rFonts w:hint="eastAsia" w:eastAsia="仿宋_GB2312"/>
          <w:b/>
          <w:color w:val="333333"/>
          <w:kern w:val="0"/>
          <w:sz w:val="32"/>
          <w:szCs w:val="32"/>
        </w:rPr>
        <w:t>：</w:t>
      </w:r>
    </w:p>
    <w:p>
      <w:pPr>
        <w:widowControl/>
        <w:snapToGrid w:val="0"/>
        <w:spacing w:line="580" w:lineRule="atLeast"/>
        <w:ind w:firstLine="640" w:firstLineChars="200"/>
        <w:jc w:val="left"/>
        <w:rPr>
          <w:rFonts w:eastAsia="仿宋_GB2312"/>
          <w:color w:val="333333"/>
          <w:kern w:val="0"/>
          <w:sz w:val="32"/>
          <w:szCs w:val="32"/>
        </w:rPr>
      </w:pPr>
      <w:r>
        <w:rPr>
          <w:rFonts w:hint="eastAsia" w:eastAsia="仿宋_GB2312"/>
          <w:kern w:val="0"/>
          <w:sz w:val="32"/>
          <w:szCs w:val="32"/>
        </w:rPr>
        <w:t>（一）共性</w:t>
      </w:r>
      <w:r>
        <w:rPr>
          <w:rFonts w:eastAsia="仿宋_GB2312"/>
          <w:color w:val="333333"/>
          <w:kern w:val="0"/>
          <w:sz w:val="32"/>
          <w:szCs w:val="32"/>
        </w:rPr>
        <w:t>材料：</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1.资产处置申请；</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2.单位</w:t>
      </w:r>
      <w:r>
        <w:rPr>
          <w:rFonts w:hint="default" w:ascii="Times New Roman" w:hAnsi="Times New Roman" w:eastAsia="仿宋_GB2312" w:cs="Times New Roman"/>
          <w:color w:val="000000"/>
          <w:kern w:val="0"/>
          <w:sz w:val="32"/>
          <w:szCs w:val="32"/>
        </w:rPr>
        <w:t>填写《</w:t>
      </w:r>
      <w:r>
        <w:rPr>
          <w:rFonts w:hint="default" w:ascii="Times New Roman" w:hAnsi="Times New Roman" w:eastAsia="仿宋_GB2312" w:cs="Times New Roman"/>
          <w:color w:val="333333"/>
          <w:sz w:val="32"/>
          <w:szCs w:val="32"/>
        </w:rPr>
        <w:t>单位国有资产处置内部审批表》（表式见附件3），及</w:t>
      </w:r>
      <w:r>
        <w:rPr>
          <w:rFonts w:hint="default" w:ascii="Times New Roman" w:hAnsi="Times New Roman" w:eastAsia="仿宋_GB2312" w:cs="Times New Roman"/>
          <w:color w:val="333333"/>
          <w:kern w:val="0"/>
          <w:sz w:val="32"/>
          <w:szCs w:val="32"/>
        </w:rPr>
        <w:t>从资产管理系统打印《行政事业单位国有资产处置报批表》</w:t>
      </w:r>
      <w:r>
        <w:rPr>
          <w:rFonts w:hint="default" w:ascii="Times New Roman" w:hAnsi="Times New Roman" w:eastAsia="仿宋_GB2312" w:cs="Times New Roman"/>
          <w:color w:val="333333"/>
          <w:sz w:val="32"/>
          <w:szCs w:val="32"/>
        </w:rPr>
        <w:t>（表式见附件4）</w:t>
      </w:r>
      <w:r>
        <w:rPr>
          <w:rFonts w:hint="default" w:ascii="Times New Roman" w:hAnsi="Times New Roman" w:eastAsia="仿宋_GB2312" w:cs="Times New Roman"/>
          <w:color w:val="333333"/>
          <w:kern w:val="0"/>
          <w:sz w:val="32"/>
          <w:szCs w:val="32"/>
        </w:rPr>
        <w:t>及《行政事业单位国有资产处置清单》</w:t>
      </w:r>
      <w:r>
        <w:rPr>
          <w:rFonts w:hint="default" w:ascii="Times New Roman" w:hAnsi="Times New Roman" w:eastAsia="仿宋_GB2312" w:cs="Times New Roman"/>
          <w:color w:val="333333"/>
          <w:sz w:val="32"/>
          <w:szCs w:val="32"/>
        </w:rPr>
        <w:t>（表式见附件5）</w:t>
      </w:r>
      <w:r>
        <w:rPr>
          <w:rFonts w:hint="default" w:ascii="Times New Roman" w:hAnsi="Times New Roman" w:eastAsia="仿宋_GB2312" w:cs="Times New Roman"/>
          <w:color w:val="333333"/>
          <w:kern w:val="0"/>
          <w:sz w:val="32"/>
          <w:szCs w:val="32"/>
        </w:rPr>
        <w:t>；</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3.处置中涉及的房屋、土地相关产权权属证明复印件；</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4.资产价值的有效凭证复印件（如购货发票、固定资产卡片、工程决算或审计报告等，需加盖单位公章）；</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5.经单位纪检监察证明的资产处置公示报告及照片，主要内容包括：公示形式、内容、时间、地点、公示结果以及对相关意见的处理等情况；</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（二）个性资料：</w:t>
      </w:r>
    </w:p>
    <w:p>
      <w:pPr>
        <w:widowControl/>
        <w:snapToGrid w:val="0"/>
        <w:spacing w:line="580" w:lineRule="atLeast"/>
        <w:ind w:firstLine="640" w:firstLineChars="200"/>
        <w:jc w:val="lef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color w:val="333333"/>
          <w:kern w:val="0"/>
          <w:sz w:val="32"/>
          <w:szCs w:val="32"/>
        </w:rPr>
        <w:t>1.资产出售应提交双方签订的出售协议；其中单项或批量超过50万元（含）的专用设备需提供</w:t>
      </w:r>
      <w:r>
        <w:rPr>
          <w:rFonts w:hint="default" w:ascii="Times New Roman" w:hAnsi="Times New Roman" w:eastAsia="仿宋_GB2312" w:cs="Times New Roman"/>
          <w:kern w:val="0"/>
          <w:sz w:val="32"/>
          <w:szCs w:val="32"/>
          <w:lang w:val="zh-CN"/>
        </w:rPr>
        <w:t>资产评估报告</w:t>
      </w:r>
      <w:r>
        <w:rPr>
          <w:rFonts w:hint="default" w:ascii="Times New Roman" w:hAnsi="Times New Roman" w:eastAsia="仿宋_GB2312" w:cs="Times New Roman"/>
          <w:color w:val="333333"/>
          <w:kern w:val="0"/>
          <w:sz w:val="32"/>
          <w:szCs w:val="32"/>
        </w:rPr>
        <w:t>备案；</w:t>
      </w:r>
      <w:r>
        <w:rPr>
          <w:rFonts w:hint="default" w:ascii="Times New Roman" w:hAnsi="Times New Roman" w:eastAsia="仿宋_GB2312" w:cs="Times New Roman"/>
          <w:kern w:val="0"/>
          <w:sz w:val="32"/>
          <w:szCs w:val="32"/>
          <w:lang w:val="zh-CN"/>
        </w:rPr>
        <w:t xml:space="preserve"> </w:t>
      </w:r>
    </w:p>
    <w:p>
      <w:pPr>
        <w:widowControl/>
        <w:snapToGrid w:val="0"/>
        <w:spacing w:line="580" w:lineRule="atLeas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333333"/>
          <w:kern w:val="0"/>
          <w:sz w:val="32"/>
          <w:szCs w:val="32"/>
        </w:rPr>
        <w:t>2. 提前</w:t>
      </w:r>
      <w:r>
        <w:rPr>
          <w:rFonts w:hint="default" w:ascii="Times New Roman" w:hAnsi="Times New Roman" w:eastAsia="仿宋_GB2312" w:cs="Times New Roman"/>
          <w:kern w:val="0"/>
          <w:sz w:val="32"/>
          <w:szCs w:val="32"/>
        </w:rPr>
        <w:t>报废的</w:t>
      </w:r>
      <w:r>
        <w:rPr>
          <w:rFonts w:hint="default" w:ascii="Times New Roman" w:hAnsi="Times New Roman" w:eastAsia="仿宋_GB2312" w:cs="Times New Roman"/>
          <w:color w:val="333333"/>
          <w:kern w:val="0"/>
          <w:sz w:val="32"/>
          <w:szCs w:val="32"/>
        </w:rPr>
        <w:t>资产应提交</w:t>
      </w:r>
      <w:r>
        <w:rPr>
          <w:rFonts w:hint="default" w:ascii="Times New Roman" w:hAnsi="Times New Roman" w:eastAsia="仿宋_GB2312" w:cs="Times New Roman"/>
          <w:color w:val="000000"/>
          <w:kern w:val="0"/>
          <w:sz w:val="32"/>
          <w:szCs w:val="32"/>
        </w:rPr>
        <w:t>报废的技术鉴定</w:t>
      </w:r>
      <w:r>
        <w:rPr>
          <w:rFonts w:hint="default" w:ascii="Times New Roman" w:hAnsi="Times New Roman" w:eastAsia="仿宋_GB2312" w:cs="Times New Roman"/>
          <w:color w:val="333333"/>
          <w:kern w:val="0"/>
          <w:sz w:val="32"/>
          <w:szCs w:val="32"/>
        </w:rPr>
        <w:t>报告</w:t>
      </w:r>
      <w:r>
        <w:rPr>
          <w:rFonts w:hint="default" w:ascii="Times New Roman" w:hAnsi="Times New Roman" w:eastAsia="仿宋_GB2312" w:cs="Times New Roman"/>
          <w:color w:val="000000"/>
          <w:kern w:val="0"/>
          <w:sz w:val="32"/>
          <w:szCs w:val="32"/>
        </w:rPr>
        <w:t>。国家有专门技术鉴定部门鉴定的资产，按国家规定提供技术鉴定意见，如：房屋拆除批复文件或建设项目拆建立项文件；车辆报废证明（7客以下的小车已使用15年或行驶50万元公里以上，7客以上大车已使用10年或行驶40万元公里以上；车辆无法达到交管部门年检及无法通过环保部门审验的黄标车等证明）；锅炉、电梯等安检部门的检验报告；专业设备等国家无专门技术鉴定部门鉴定的资产由其主管部门组织鉴定小组（无主管部门的，由</w:t>
      </w:r>
      <w:r>
        <w:rPr>
          <w:rFonts w:hint="default" w:ascii="Times New Roman" w:hAnsi="Times New Roman" w:eastAsia="仿宋_GB2312" w:cs="Times New Roman"/>
          <w:color w:val="333333"/>
          <w:kern w:val="0"/>
          <w:sz w:val="32"/>
          <w:szCs w:val="32"/>
        </w:rPr>
        <w:t>单位内部技术鉴定小组或内部专业技术部门</w:t>
      </w:r>
      <w:r>
        <w:rPr>
          <w:rFonts w:hint="default" w:ascii="Times New Roman" w:hAnsi="Times New Roman" w:eastAsia="仿宋_GB2312" w:cs="Times New Roman"/>
          <w:color w:val="000000"/>
          <w:kern w:val="0"/>
          <w:sz w:val="32"/>
          <w:szCs w:val="32"/>
        </w:rPr>
        <w:t>）进行鉴定，并出具书面鉴定意见。</w:t>
      </w:r>
    </w:p>
    <w:p>
      <w:pPr>
        <w:widowControl/>
        <w:snapToGrid w:val="0"/>
        <w:spacing w:line="580" w:lineRule="atLeas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zh-CN"/>
        </w:rPr>
        <w:t>3.</w:t>
      </w:r>
      <w:r>
        <w:rPr>
          <w:rFonts w:hint="default" w:ascii="Times New Roman" w:hAnsi="Times New Roman" w:eastAsia="仿宋_GB2312" w:cs="Times New Roman"/>
          <w:color w:val="333333"/>
          <w:kern w:val="0"/>
          <w:sz w:val="32"/>
          <w:szCs w:val="32"/>
        </w:rPr>
        <w:t>资产</w:t>
      </w:r>
      <w:r>
        <w:rPr>
          <w:rFonts w:hint="default" w:ascii="Times New Roman" w:hAnsi="Times New Roman" w:eastAsia="仿宋_GB2312" w:cs="Times New Roman"/>
          <w:kern w:val="0"/>
          <w:sz w:val="32"/>
          <w:szCs w:val="32"/>
        </w:rPr>
        <w:t>报损</w:t>
      </w:r>
      <w:r>
        <w:rPr>
          <w:rFonts w:hint="default" w:ascii="Times New Roman" w:hAnsi="Times New Roman" w:eastAsia="仿宋_GB2312" w:cs="Times New Roman"/>
          <w:color w:val="333333"/>
          <w:kern w:val="0"/>
          <w:sz w:val="32"/>
          <w:szCs w:val="32"/>
        </w:rPr>
        <w:t>应提交发生毁损、盘亏、失窃等的情况说明、报案证明等；对非正常损失有关责任者的责任认定；</w:t>
      </w:r>
      <w:r>
        <w:rPr>
          <w:rFonts w:hint="default" w:ascii="Times New Roman" w:hAnsi="Times New Roman" w:eastAsia="仿宋_GB2312" w:cs="Times New Roman"/>
          <w:color w:val="000000"/>
          <w:kern w:val="0"/>
          <w:sz w:val="32"/>
          <w:szCs w:val="32"/>
        </w:rPr>
        <w:t>资产报损的技术鉴定</w:t>
      </w:r>
      <w:r>
        <w:rPr>
          <w:rFonts w:hint="default" w:ascii="Times New Roman" w:hAnsi="Times New Roman" w:eastAsia="仿宋_GB2312" w:cs="Times New Roman"/>
          <w:color w:val="333333"/>
          <w:kern w:val="0"/>
          <w:sz w:val="32"/>
          <w:szCs w:val="32"/>
        </w:rPr>
        <w:t>报告</w:t>
      </w:r>
      <w:r>
        <w:rPr>
          <w:rFonts w:hint="default" w:ascii="Times New Roman" w:hAnsi="Times New Roman" w:eastAsia="仿宋_GB2312" w:cs="Times New Roman"/>
          <w:color w:val="000000"/>
          <w:kern w:val="0"/>
          <w:sz w:val="32"/>
          <w:szCs w:val="32"/>
        </w:rPr>
        <w:t>。</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4. </w:t>
      </w:r>
      <w:r>
        <w:rPr>
          <w:rFonts w:hint="default" w:ascii="Times New Roman" w:hAnsi="Times New Roman" w:eastAsia="仿宋_GB2312" w:cs="Times New Roman"/>
          <w:kern w:val="0"/>
          <w:sz w:val="32"/>
          <w:szCs w:val="32"/>
        </w:rPr>
        <w:t>货币性资产损失核销</w:t>
      </w:r>
      <w:r>
        <w:rPr>
          <w:rFonts w:hint="default" w:ascii="Times New Roman" w:hAnsi="Times New Roman" w:eastAsia="仿宋_GB2312" w:cs="Times New Roman"/>
          <w:color w:val="333333"/>
          <w:kern w:val="0"/>
          <w:sz w:val="32"/>
          <w:szCs w:val="32"/>
        </w:rPr>
        <w:t>应提交坏账损失的核销证明（如</w:t>
      </w:r>
      <w:r>
        <w:rPr>
          <w:rFonts w:hint="default" w:ascii="Times New Roman" w:hAnsi="Times New Roman" w:eastAsia="仿宋_GB2312" w:cs="Times New Roman"/>
          <w:color w:val="000000"/>
          <w:kern w:val="0"/>
          <w:sz w:val="32"/>
          <w:szCs w:val="32"/>
        </w:rPr>
        <w:t>法院判决书、破产公告或破产清算清偿文件</w:t>
      </w:r>
      <w:r>
        <w:rPr>
          <w:rFonts w:hint="default" w:ascii="Times New Roman" w:hAnsi="Times New Roman" w:eastAsia="仿宋_GB2312" w:cs="Times New Roman"/>
          <w:color w:val="333333"/>
          <w:kern w:val="0"/>
          <w:sz w:val="32"/>
          <w:szCs w:val="32"/>
        </w:rPr>
        <w:t>及清算完毕证明、工商部门的吊销注销证明、税务部门的注销证明、公安部门出具的债务人死亡证明、</w:t>
      </w:r>
      <w:r>
        <w:rPr>
          <w:rFonts w:hint="default" w:ascii="Times New Roman" w:hAnsi="Times New Roman" w:eastAsia="仿宋_GB2312" w:cs="Times New Roman"/>
          <w:color w:val="000000"/>
          <w:kern w:val="0"/>
          <w:sz w:val="32"/>
          <w:szCs w:val="32"/>
        </w:rPr>
        <w:t>政府部门有关行政决定文件</w:t>
      </w:r>
      <w:r>
        <w:rPr>
          <w:rFonts w:hint="default" w:ascii="Times New Roman" w:hAnsi="Times New Roman" w:eastAsia="仿宋_GB2312" w:cs="Times New Roman"/>
          <w:color w:val="333333"/>
          <w:kern w:val="0"/>
          <w:sz w:val="32"/>
          <w:szCs w:val="32"/>
        </w:rPr>
        <w:t>以及其他足以证明资产确实无法收回的合法、有效证明等）</w:t>
      </w:r>
      <w:r>
        <w:rPr>
          <w:rFonts w:hint="default" w:ascii="Times New Roman" w:hAnsi="Times New Roman" w:eastAsia="仿宋_GB2312" w:cs="Times New Roman"/>
          <w:sz w:val="32"/>
          <w:szCs w:val="32"/>
        </w:rPr>
        <w:t>、单位合法合理的催收证明、</w:t>
      </w:r>
      <w:r>
        <w:rPr>
          <w:rFonts w:hint="default" w:ascii="Times New Roman" w:hAnsi="Times New Roman" w:eastAsia="仿宋_GB2312" w:cs="Times New Roman"/>
          <w:color w:val="333333"/>
          <w:kern w:val="0"/>
          <w:sz w:val="32"/>
          <w:szCs w:val="32"/>
        </w:rPr>
        <w:t>对造成损失的有关责任者的责任认定；单位内部核批文件及情况说明；</w:t>
      </w:r>
    </w:p>
    <w:p>
      <w:pPr>
        <w:widowControl/>
        <w:snapToGrid w:val="0"/>
        <w:spacing w:line="580" w:lineRule="atLeas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5.资产</w:t>
      </w:r>
      <w:r>
        <w:rPr>
          <w:rFonts w:hint="default" w:ascii="Times New Roman" w:hAnsi="Times New Roman" w:eastAsia="仿宋_GB2312" w:cs="Times New Roman"/>
          <w:kern w:val="0"/>
          <w:sz w:val="32"/>
          <w:szCs w:val="32"/>
        </w:rPr>
        <w:t>置换</w:t>
      </w:r>
      <w:r>
        <w:rPr>
          <w:rFonts w:hint="default" w:ascii="Times New Roman" w:hAnsi="Times New Roman" w:eastAsia="仿宋_GB2312" w:cs="Times New Roman"/>
          <w:color w:val="333333"/>
          <w:kern w:val="0"/>
          <w:sz w:val="32"/>
          <w:szCs w:val="32"/>
        </w:rPr>
        <w:t>应提交资产置换意向书、单项或批量价值在50万元以上的</w:t>
      </w:r>
      <w:r>
        <w:rPr>
          <w:rFonts w:hint="default" w:ascii="Times New Roman" w:hAnsi="Times New Roman" w:eastAsia="仿宋_GB2312" w:cs="Times New Roman"/>
          <w:kern w:val="0"/>
          <w:sz w:val="32"/>
          <w:szCs w:val="32"/>
          <w:lang w:val="zh-CN"/>
        </w:rPr>
        <w:t>资产评估报告</w:t>
      </w:r>
      <w:r>
        <w:rPr>
          <w:rFonts w:hint="default" w:ascii="Times New Roman" w:hAnsi="Times New Roman" w:eastAsia="仿宋_GB2312" w:cs="Times New Roman"/>
          <w:color w:val="333333"/>
          <w:kern w:val="0"/>
          <w:sz w:val="32"/>
          <w:szCs w:val="32"/>
        </w:rPr>
        <w:t>及资产评估项目核准表；</w:t>
      </w:r>
    </w:p>
    <w:p>
      <w:pPr>
        <w:widowControl/>
        <w:snapToGrid w:val="0"/>
        <w:spacing w:line="580" w:lineRule="atLeast"/>
        <w:ind w:firstLine="640" w:firstLineChars="200"/>
        <w:jc w:val="left"/>
        <w:rPr>
          <w:rFonts w:ascii="Times New Roman" w:eastAsia="仿宋_GB2312"/>
          <w:szCs w:val="32"/>
        </w:rPr>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pPr>
      <w:r>
        <w:rPr>
          <w:rFonts w:hint="default" w:ascii="Times New Roman" w:hAnsi="Times New Roman" w:eastAsia="仿宋_GB2312" w:cs="Times New Roman"/>
          <w:color w:val="333333"/>
          <w:kern w:val="0"/>
          <w:sz w:val="32"/>
          <w:szCs w:val="32"/>
        </w:rPr>
        <w:t>6.资产</w:t>
      </w:r>
      <w:r>
        <w:rPr>
          <w:rFonts w:hint="default" w:ascii="Times New Roman" w:hAnsi="Times New Roman" w:eastAsia="仿宋_GB2312" w:cs="Times New Roman"/>
          <w:kern w:val="0"/>
          <w:sz w:val="32"/>
          <w:szCs w:val="32"/>
        </w:rPr>
        <w:t>捐赠</w:t>
      </w:r>
      <w:r>
        <w:rPr>
          <w:rFonts w:hint="default" w:ascii="Times New Roman" w:hAnsi="Times New Roman" w:eastAsia="仿宋_GB2312" w:cs="Times New Roman"/>
          <w:color w:val="333333"/>
          <w:kern w:val="0"/>
          <w:sz w:val="32"/>
          <w:szCs w:val="32"/>
        </w:rPr>
        <w:t>应提交资产目前的使用情况说明、捐赠资产的批准文件及情况说明及捐赠方与接受捐赠方的捐赠协议书。</w:t>
      </w:r>
      <w:bookmarkEnd w:id="0"/>
    </w:p>
    <w:p>
      <w:pPr>
        <w:widowControl/>
        <w:spacing w:line="540" w:lineRule="atLeast"/>
        <w:ind w:left="0" w:leftChars="0" w:firstLine="0" w:firstLineChars="0"/>
        <w:jc w:val="left"/>
        <w:rPr>
          <w:rFonts w:hint="eastAsia" w:ascii="Times New Roman" w:eastAsia="仿宋_GB2312"/>
          <w:szCs w:val="32"/>
        </w:rPr>
      </w:pPr>
      <w:bookmarkStart w:id="1" w:name="_GoBack"/>
      <w:bookmarkEnd w:id="1"/>
    </w:p>
    <w:sectPr>
      <w:headerReference r:id="rId7"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357505</wp:posOffset>
              </wp:positionV>
              <wp:extent cx="5615940" cy="1905"/>
              <wp:effectExtent l="0" t="10795" r="10160" b="12700"/>
              <wp:wrapNone/>
              <wp:docPr id="5" name="直接连接符 5"/>
              <wp:cNvGraphicFramePr/>
              <a:graphic xmlns:a="http://schemas.openxmlformats.org/drawingml/2006/main">
                <a:graphicData uri="http://schemas.microsoft.com/office/word/2010/wordprocessingShape">
                  <wps:wsp>
                    <wps:cNvCnPr/>
                    <wps:spPr>
                      <a:xfrm>
                        <a:off x="0" y="0"/>
                        <a:ext cx="561594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28.15pt;height:0.15pt;width:442.2pt;z-index:251660288;mso-width-relative:page;mso-height-relative:page;" filled="f" stroked="t" coordsize="21600,21600" o:gfxdata="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I0&#10;FrLXAAAACAEAAA8AAAAAAAAAAQAgAAAAIgAAAGRycy9kb3ducmV2LnhtbFBLAQIUABQAAAAIAIdO&#10;4kCAHs/C6wEAALUDAAAOAAAAAAAAAAEAIAAAACY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posOffset>4763770</wp:posOffset>
              </wp:positionH>
              <wp:positionV relativeFrom="paragraph">
                <wp:posOffset>-80645</wp:posOffset>
              </wp:positionV>
              <wp:extent cx="1828800" cy="4044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04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1pt;margin-top:-6.35pt;height:31.85pt;width:144pt;mso-position-horizontal-relative:margin;mso-wrap-style:none;z-index:251661312;mso-width-relative:page;mso-height-relative:page;" filled="f" stroked="f" coordsize="21600,21600" o:gfxdata="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2DmxdoAAAALAQAADwAAAAAAAAABACAAAAAiAAAAZHJzL2Rvd25yZXYueG1s&#10;UEsBAhQAFAAAAAgAh07iQJeBv4YvAgAAVAQAAA4AAAAAAAAAAQAgAAAAKQEAAGRycy9lMm9Eb2Mu&#10;eG1sUEsFBgAAAAAGAAYAWQEAAMoFAAAAAA==&#10;">
              <v:fill on="f" focussize="0,0"/>
              <v:stroke on="f" weight="0.5pt"/>
              <v:imagedata o:title=""/>
              <o:lock v:ext="edit" aspectratio="f"/>
              <v:textbox inset="0mm,0mm,0mm,0mm">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keepNext w:val="0"/>
      <w:keepLines w:val="0"/>
      <w:pageBreakBefore w:val="0"/>
      <w:widowControl w:val="0"/>
      <w:kinsoku/>
      <w:wordWrap w:val="0"/>
      <w:overflowPunct/>
      <w:topLinePunct w:val="0"/>
      <w:autoSpaceDE w:val="0"/>
      <w:autoSpaceDN w:val="0"/>
      <w:bidi w:val="0"/>
      <w:adjustRightInd/>
      <w:snapToGrid w:val="0"/>
      <w:spacing w:line="240" w:lineRule="auto"/>
      <w:ind w:left="0" w:leftChars="0" w:firstLine="0" w:firstLineChars="0"/>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28"/>
        <w:szCs w:val="44"/>
        <w:lang w:val="en-US" w:eastAsia="zh-CN"/>
      </w:rPr>
      <w:t>南通市财政局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p>
  <w:p>
    <w:pPr>
      <w:pStyle w:val="6"/>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t>南通市行政规范性文件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15940" cy="0"/>
              <wp:effectExtent l="0" t="10795" r="10160" b="14605"/>
              <wp:wrapNone/>
              <wp:docPr id="1" name="直接连接符 1"/>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2pt;z-index:251662336;mso-width-relative:page;mso-height-relative:page;" filled="f" stroked="t" coordsize="21600,21600" o:gfxdata="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v6y7UAAAACQEAAA8AAAAAAAAAAQAgAAAAIgAAAGRycy9kb3ducmV2LnhtbFBLAQIUABQA&#10;AAAIAIdO4kDcat3u9AEAAL0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t>南通市行政规范性文件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13"/>
    <w:rsid w:val="00083EC2"/>
    <w:rsid w:val="00172A27"/>
    <w:rsid w:val="002D10C2"/>
    <w:rsid w:val="003E61D4"/>
    <w:rsid w:val="004167DE"/>
    <w:rsid w:val="00775451"/>
    <w:rsid w:val="00891681"/>
    <w:rsid w:val="008E17B2"/>
    <w:rsid w:val="00A47179"/>
    <w:rsid w:val="00A7143B"/>
    <w:rsid w:val="00A9255E"/>
    <w:rsid w:val="00AC71A2"/>
    <w:rsid w:val="00CE3454"/>
    <w:rsid w:val="00D6746B"/>
    <w:rsid w:val="00FF0EA6"/>
    <w:rsid w:val="019E71BD"/>
    <w:rsid w:val="04B679C3"/>
    <w:rsid w:val="080F63D8"/>
    <w:rsid w:val="09341458"/>
    <w:rsid w:val="0B0912D7"/>
    <w:rsid w:val="14252C90"/>
    <w:rsid w:val="152D2DCA"/>
    <w:rsid w:val="1DEC284C"/>
    <w:rsid w:val="1E6523AC"/>
    <w:rsid w:val="22440422"/>
    <w:rsid w:val="23850458"/>
    <w:rsid w:val="29626D43"/>
    <w:rsid w:val="303F6DD2"/>
    <w:rsid w:val="31A15F24"/>
    <w:rsid w:val="395347B5"/>
    <w:rsid w:val="39A232A0"/>
    <w:rsid w:val="39E745AA"/>
    <w:rsid w:val="3B5A6BBB"/>
    <w:rsid w:val="3EDA13A6"/>
    <w:rsid w:val="42F058B7"/>
    <w:rsid w:val="436109F6"/>
    <w:rsid w:val="441A38D4"/>
    <w:rsid w:val="47052AFF"/>
    <w:rsid w:val="473F621E"/>
    <w:rsid w:val="4BC77339"/>
    <w:rsid w:val="4C9236C5"/>
    <w:rsid w:val="4E7227A9"/>
    <w:rsid w:val="505C172E"/>
    <w:rsid w:val="52F46F0B"/>
    <w:rsid w:val="53D8014D"/>
    <w:rsid w:val="55E064E0"/>
    <w:rsid w:val="5726727C"/>
    <w:rsid w:val="572C6D10"/>
    <w:rsid w:val="5DC34279"/>
    <w:rsid w:val="608816D1"/>
    <w:rsid w:val="60EF4E7F"/>
    <w:rsid w:val="665233C1"/>
    <w:rsid w:val="6A433F68"/>
    <w:rsid w:val="6AD9688B"/>
    <w:rsid w:val="6D0E3F22"/>
    <w:rsid w:val="78DD1E2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方正仿宋_GBK" w:hAnsi="Times New Roman" w:eastAsia="方正仿宋_GBK" w:cs="Times New Roman"/>
      <w:snapToGrid w:val="0"/>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ind w:firstLine="0"/>
      <w:jc w:val="left"/>
    </w:pPr>
    <w:rPr>
      <w:spacing w:val="-25"/>
    </w:rPr>
  </w:style>
  <w:style w:type="paragraph" w:styleId="3">
    <w:name w:val="annotation text"/>
    <w:basedOn w:val="1"/>
    <w:link w:val="12"/>
    <w:qFormat/>
    <w:uiPriority w:val="0"/>
    <w:pPr>
      <w:jc w:val="left"/>
    </w:pPr>
  </w:style>
  <w:style w:type="paragraph" w:styleId="4">
    <w:name w:val="Body Text"/>
    <w:basedOn w:val="1"/>
    <w:uiPriority w:val="0"/>
    <w:pPr>
      <w:jc w:val="left"/>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7"/>
    <w:qFormat/>
    <w:uiPriority w:val="0"/>
    <w:rPr>
      <w:rFonts w:asciiTheme="minorHAnsi" w:hAnsiTheme="minorHAnsi" w:eastAsiaTheme="minorEastAsia" w:cstheme="minorBidi"/>
      <w:b/>
      <w:bCs/>
      <w:kern w:val="2"/>
      <w:sz w:val="21"/>
      <w:szCs w:val="24"/>
    </w:rPr>
  </w:style>
  <w:style w:type="paragraph" w:customStyle="1" w:styleId="14">
    <w:name w:val="标题1"/>
    <w:basedOn w:val="1"/>
    <w:next w:val="1"/>
    <w:qFormat/>
    <w:uiPriority w:val="0"/>
    <w:pPr>
      <w:tabs>
        <w:tab w:val="left" w:pos="9193"/>
        <w:tab w:val="left" w:pos="9827"/>
      </w:tabs>
      <w:spacing w:line="700" w:lineRule="atLeast"/>
      <w:ind w:firstLine="0"/>
      <w:jc w:val="center"/>
    </w:pPr>
    <w:rPr>
      <w:rFonts w:ascii="方正小标宋_GBK" w:eastAsia="方正小标宋_GBK"/>
      <w:sz w:val="44"/>
    </w:rPr>
  </w:style>
  <w:style w:type="paragraph" w:customStyle="1" w:styleId="15">
    <w:name w:val="List Paragraph"/>
    <w:basedOn w:val="1"/>
    <w:qFormat/>
    <w:uiPriority w:val="0"/>
    <w:pPr>
      <w:autoSpaceDE/>
      <w:autoSpaceDN/>
      <w:snapToGrid/>
      <w:spacing w:line="240" w:lineRule="auto"/>
      <w:ind w:firstLine="420" w:firstLineChars="200"/>
    </w:pPr>
    <w:rPr>
      <w:rFonts w:ascii="Calibri" w:hAnsi="Calibri" w:eastAsia="宋体" w:cs="Calibri"/>
      <w:snapToGrid/>
      <w:kern w:val="2"/>
      <w:sz w:val="21"/>
      <w:szCs w:val="21"/>
    </w:rPr>
  </w:style>
  <w:style w:type="paragraph" w:customStyle="1" w:styleId="16">
    <w:name w:val="主题词"/>
    <w:basedOn w:val="1"/>
    <w:qFormat/>
    <w:uiPriority w:val="0"/>
    <w:pPr>
      <w:autoSpaceDE w:val="0"/>
      <w:autoSpaceDN w:val="0"/>
      <w:adjustRightInd w:val="0"/>
      <w:snapToGrid/>
      <w:spacing w:line="240" w:lineRule="atLeast"/>
      <w:ind w:firstLine="0"/>
      <w:jc w:val="left"/>
    </w:pPr>
    <w:rPr>
      <w:rFonts w:ascii="方正黑体_GBK" w:eastAsia="方正黑体_GBK"/>
    </w:rPr>
  </w:style>
  <w:style w:type="paragraph" w:customStyle="1" w:styleId="17">
    <w:name w:val="线型"/>
    <w:basedOn w:val="18"/>
    <w:qFormat/>
    <w:uiPriority w:val="0"/>
    <w:pPr>
      <w:spacing w:line="240" w:lineRule="auto"/>
      <w:ind w:left="0" w:firstLine="0"/>
      <w:jc w:val="center"/>
    </w:pPr>
    <w:rPr>
      <w:sz w:val="21"/>
    </w:rPr>
  </w:style>
  <w:style w:type="paragraph" w:customStyle="1" w:styleId="18">
    <w:name w:val="抄送栏"/>
    <w:basedOn w:val="1"/>
    <w:qFormat/>
    <w:uiPriority w:val="0"/>
    <w:pPr>
      <w:adjustRightInd w:val="0"/>
      <w:snapToGrid/>
      <w:spacing w:line="454" w:lineRule="atLeast"/>
      <w:ind w:left="1310" w:right="357" w:hanging="953"/>
    </w:pPr>
  </w:style>
  <w:style w:type="paragraph" w:customStyle="1" w:styleId="19">
    <w:name w:val="印发栏"/>
    <w:basedOn w:val="2"/>
    <w:qFormat/>
    <w:uiPriority w:val="0"/>
    <w:pPr>
      <w:tabs>
        <w:tab w:val="right" w:pos="8465"/>
      </w:tabs>
      <w:spacing w:line="454" w:lineRule="atLeast"/>
      <w:ind w:left="357" w:right="357"/>
    </w:pPr>
    <w:rPr>
      <w:spacing w:val="0"/>
    </w:rPr>
  </w:style>
  <w:style w:type="paragraph" w:customStyle="1" w:styleId="20">
    <w:name w:val="默认段落字体 Para Char"/>
    <w:basedOn w:val="1"/>
    <w:qFormat/>
    <w:uiPriority w:val="0"/>
    <w:pPr>
      <w:autoSpaceDE/>
      <w:autoSpaceDN/>
      <w:adjustRightInd w:val="0"/>
      <w:snapToGrid/>
      <w:spacing w:line="360" w:lineRule="auto"/>
      <w:ind w:firstLine="0"/>
    </w:pPr>
    <w:rPr>
      <w:rFonts w:ascii="Times New Roman" w:eastAsia="宋体"/>
      <w:snapToGrid/>
      <w:sz w:val="24"/>
    </w:rPr>
  </w:style>
  <w:style w:type="character" w:customStyle="1" w:styleId="21">
    <w:name w:val="font41"/>
    <w:basedOn w:val="9"/>
    <w:uiPriority w:val="0"/>
    <w:rPr>
      <w:rFonts w:hint="eastAsia" w:ascii="仿宋_GB2312" w:eastAsia="仿宋_GB2312" w:cs="仿宋_GB2312"/>
      <w:color w:val="000000"/>
      <w:sz w:val="24"/>
      <w:szCs w:val="24"/>
      <w:u w:val="none"/>
    </w:rPr>
  </w:style>
  <w:style w:type="character" w:customStyle="1" w:styleId="22">
    <w:name w:val="font21"/>
    <w:basedOn w:val="9"/>
    <w:uiPriority w:val="0"/>
    <w:rPr>
      <w:rFonts w:hint="eastAsia" w:ascii="宋体" w:hAnsi="宋体" w:eastAsia="宋体" w:cs="宋体"/>
      <w:color w:val="000000"/>
      <w:sz w:val="44"/>
      <w:szCs w:val="44"/>
      <w:u w:val="none"/>
    </w:rPr>
  </w:style>
  <w:style w:type="character" w:customStyle="1" w:styleId="23">
    <w:name w:val="font01"/>
    <w:basedOn w:val="9"/>
    <w:uiPriority w:val="0"/>
    <w:rPr>
      <w:rFonts w:hint="default" w:ascii="Times New Roman" w:hAnsi="Times New Roman" w:cs="Times New Roman"/>
      <w:color w:val="000000"/>
      <w:sz w:val="22"/>
      <w:szCs w:val="22"/>
      <w:u w:val="none"/>
    </w:rPr>
  </w:style>
  <w:style w:type="character" w:customStyle="1" w:styleId="24">
    <w:name w:val="font51"/>
    <w:basedOn w:val="9"/>
    <w:uiPriority w:val="0"/>
    <w:rPr>
      <w:rFonts w:hint="eastAsia" w:ascii="宋体" w:hAnsi="宋体" w:eastAsia="宋体" w:cs="宋体"/>
      <w:color w:val="000000"/>
      <w:sz w:val="22"/>
      <w:szCs w:val="22"/>
      <w:u w:val="none"/>
    </w:rPr>
  </w:style>
  <w:style w:type="character" w:customStyle="1" w:styleId="25">
    <w:name w:val="font11"/>
    <w:basedOn w:val="9"/>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1148</Characters>
  <Lines>9</Lines>
  <Paragraphs>2</Paragraphs>
  <TotalTime>21</TotalTime>
  <ScaleCrop>false</ScaleCrop>
  <LinksUpToDate>false</LinksUpToDate>
  <CharactersWithSpaces>1347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ntcz</cp:lastModifiedBy>
  <cp:lastPrinted>2021-10-26T03:30:00Z</cp:lastPrinted>
  <dcterms:modified xsi:type="dcterms:W3CDTF">2023-12-14T01:39:08Z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536BCE98893442F584D2C28A031D1809</vt:lpwstr>
  </property>
</Properties>
</file>