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南通市财政局数据中心运维项目</w:t>
      </w:r>
      <w:r>
        <w:rPr>
          <w:rFonts w:hint="eastAsia"/>
          <w:b/>
          <w:bCs/>
          <w:sz w:val="32"/>
          <w:szCs w:val="32"/>
          <w:lang w:val="en-US" w:eastAsia="zh-CN"/>
        </w:rPr>
        <w:t>需求</w:t>
      </w:r>
    </w:p>
    <w:p>
      <w:pPr>
        <w:adjustRightInd w:val="0"/>
        <w:ind w:firstLine="482" w:firstLineChars="200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项目背景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在数字化转型的大潮中，财政部门面临着数据量激增、数据类型多样化、数据处理复杂化的挑战。传统的财政管理方式已难以满足现代政府高效、透明、精准的管理需求。财政数据中心作为数据库的概念升级，旨在解决不同业务系统之间的数据孤岛问题，提供统一的、集成的数据平台，以支持更高效的数据分析和决策制定。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财政数据中心围绕财政收支管理全过程构建，通过整合财政业务数据资源，形成真正意义上的财政数据仓库。其核心价值在于利用数据分析算法模型，按照特定口径进行统计分析、监控预警，建立以财政收支、预测决策、主题展现等为主要内容的大数据支撑系统。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财政数据中心依照分析需求、分析维度、分析指标进行设计，其数据来源于内部。与传统数据库相比，数据中心的主要特征包括面向主题和集成性。面向主题意味着数据中心中的数据是围绕某些主题进行组织的，这些主题是在较高层次上对业务信息系统中的数据进行的综合、归类并进行分析利用的抽象。集成性则体现在数据中心中的数据是从分散、独立、异构的数据库数据中抽取、清理、转换和汇总得到的，这保证了数据中心内的数据关于整体业务的一致性。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财政数据中心是为了解决不同业务系统之间的数据孤岛问题，提供一个统一的、集成的数据平台，以便进行更高效的数据分析和决策支持。</w:t>
      </w:r>
    </w:p>
    <w:p>
      <w:pPr>
        <w:adjustRightInd w:val="0"/>
        <w:ind w:firstLine="482" w:firstLineChars="200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二、项目目标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整合数据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实现跨部门、跨层级财政数据的统一收集、清洗、转换与共享，数据中心可以整合来自不同来源、不同格式和不同系统的数据，为用户提供一个统一、全面的数据视图，提高数据的可用性和可理解性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2.提升数据质量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通过数据中心的数据清洗、转换和整合过程，可以提高数据的质量。数据中心还可以实施数据治理策略，确保数据的准确性、一致性和完整性。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3.支持业务分析和决策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数据中心提供了强大的查询和分析功能，可以帮助部门单位用户进行深入的业务分析和决策。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0" w:name="OLE_LINK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4.财政税源分析</w:t>
      </w:r>
      <w:bookmarkEnd w:id="0"/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结合税务分户清册数据进行财政税源分析，通过收集、整理和评估税收相关数据，全面掌握地区或行业税源分布、规模及变动趋势。帮助财政相关业务部门精准识别重点税源和潜在增长点，为税收政策制定、收入预测和财源建设提供数据支撑，同时防范税收流失，保障财政收入稳定可持续增长，助力宏观经济决策的科学性和财政收支平衡。</w:t>
      </w:r>
    </w:p>
    <w:p>
      <w:pPr>
        <w:adjustRightInd w:val="0"/>
        <w:ind w:firstLine="482" w:firstLineChars="200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三、项目内容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1" w:name="_Toc2017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（一）财政数据中心运维</w:t>
      </w:r>
      <w:bookmarkEnd w:id="1"/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2025年度财政数据中心运维服务主要包括：保障数据回流采集、回流数据规划整理、</w:t>
      </w:r>
      <w:bookmarkStart w:id="2" w:name="OLE_LINK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业务数据分析报表</w:t>
      </w:r>
      <w:bookmarkEnd w:id="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、财政税源分析等的内容，实现以业务系统数据加省厅回流数据为基础，涵盖财政全业务流程、多年度业务的数据采集、整理、清洗、转换、加工、报表查询、统计分析等功能。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3" w:name="_Toc1589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1.保障数据回流采集</w:t>
      </w:r>
      <w:bookmarkEnd w:id="3"/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（1）</w:t>
      </w:r>
      <w:bookmarkStart w:id="4" w:name="_Toc18458"/>
      <w:bookmarkStart w:id="5" w:name="_Toc3064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回流数据规划整理</w:t>
      </w:r>
      <w:bookmarkEnd w:id="4"/>
      <w:bookmarkEnd w:id="5"/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由于省厅回流数据多为一体化系统业务数据，与财政数据中心的数据存在格式和版本的差异，因此需要根据实际需求，对省厅回流数据进行规划整理，规范数据模型、统一数据结构、建立数据通道，方便将省厅回流数据全部抽取到数据中心，在数据中心里提供统一的数据查询服务。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（2）</w:t>
      </w:r>
      <w:bookmarkStart w:id="6" w:name="_Toc3967"/>
      <w:bookmarkStart w:id="7" w:name="_Toc188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回流数据采集策略</w:t>
      </w:r>
      <w:bookmarkEnd w:id="6"/>
      <w:bookmarkEnd w:id="7"/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为确保数据中心里财政业务数据的质量和一致性，针对省厅回流数据的特点制定差异化的数据采集方案。同时，根据省厅回流数据的类型制定数据采集策略，针对不同的数据类型制订不同的数据采集策略，包括但不限于：通过工具定期抽取，确保数据格式统一且符合标准；制定自动化校验规则（如完整性检查、逻辑校验），结合增量同步策略提升效率等。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（3）回流数据清洗、转换、加工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省厅回流库的数据来源于财政一体化业务系统，由于业务规则、数据结构和应用场景的差异，原始数据无法直接满足数据中心的查询分析及统计报表需求。因此，需对回流数据进行系统化的清洗、转换和加工处理，确保数据的一致性、准确性和可用性。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bookmarkStart w:id="8" w:name="_Toc11779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业务数据分析报表</w:t>
      </w:r>
      <w:bookmarkEnd w:id="8"/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在报表中心添加以下业务处室需求的数据分析报表：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（1）</w:t>
      </w:r>
      <w:bookmarkStart w:id="9" w:name="_Toc1785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金库收入报表</w:t>
      </w:r>
      <w:bookmarkEnd w:id="9"/>
    </w:p>
    <w:p>
      <w:pPr>
        <w:adjustRightInd w:val="0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为预算处提供以下金库收入报表：全市收入分地区情况累计报表、全市收入分地区情况当月报表、政府性基金预算收入情况表、全市分税种情况表、留抵退税情况对比表、免抵调增增值税收入对比表。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（2）</w:t>
      </w:r>
      <w:bookmarkStart w:id="10" w:name="_Toc30206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库款分析报表</w:t>
      </w:r>
      <w:bookmarkEnd w:id="10"/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为国库处提供关于地方财政国库库款情况的分析报表。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（3）</w:t>
      </w:r>
      <w:bookmarkStart w:id="11" w:name="_Toc1930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财政收支月报</w:t>
      </w:r>
      <w:bookmarkEnd w:id="11"/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为国库处财政收支月报，包含以下报表：财政各地区收入月报表、财政各地区支出月报表以及财政各地区收支月报分表。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3.财政税源分析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财政税源分析旨在全面监测和评估税收收入情况，为财政管理提供数据支撑，帮助相关部门精准把握税收动态，优化征管策略，确保财政收入稳定增长，主要功能需求如下：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（1）多维度税源统计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840"/>
        </w:tabs>
        <w:ind w:left="84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按行业分析：统计各行业（如制造业、房地产、金融业等）的税收贡献，识别支柱产业和潜力行业。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840"/>
        </w:tabs>
        <w:ind w:left="84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按类型分析：区分企业类型（如国企、民企、外资等），分析不同经济主体的纳税情况。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840"/>
        </w:tabs>
        <w:ind w:left="84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按税种分析：监测增值税、企业所得税、个人所得税等主要税种的收入构成及变化。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840"/>
        </w:tabs>
        <w:ind w:left="84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按国库分析：按税款缴纳的各级国库划分，掌握税收分级入库情况。</w:t>
      </w:r>
    </w:p>
    <w:p>
      <w:pPr>
        <w:adjustRightInd w:val="0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（2）动态趋势分析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840"/>
        </w:tabs>
        <w:ind w:left="84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环比分析：对比本期与上期税收数据，反映短期变化趋势。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840"/>
        </w:tabs>
        <w:ind w:left="84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同比分析：对比本期与上年同期数据，消除季节性影响，分析长期增长或下降趋势。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（3）税源变动预警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840"/>
        </w:tabs>
        <w:ind w:left="84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对异常波动（如某行业税收骤降、某税种增长乏力）进行预警，为税务稽查和征管优化提供辅助意见。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（4）收入预测与决策支持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840"/>
        </w:tabs>
        <w:ind w:left="84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基于历史数据建立模型，预测未来税收趋势，为财政预算和政策调整提供依据。</w:t>
      </w:r>
    </w:p>
    <w:p>
      <w:pPr>
        <w:adjustRightInd w:val="0"/>
        <w:ind w:firstLine="482" w:firstLineChars="200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四、</w:t>
      </w:r>
      <w:bookmarkStart w:id="12" w:name="_Toc7913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建设内容列表</w:t>
      </w:r>
      <w:bookmarkEnd w:id="12"/>
    </w:p>
    <w:tbl>
      <w:tblPr>
        <w:tblStyle w:val="3"/>
        <w:tblW w:w="951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84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建设内容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19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一、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保障数据回流采集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回流数据规划整理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4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回流数据采集策略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4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回流数据清洗、转换、加工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19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业务数据分析报表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84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金库收入报表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84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库款分析报表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84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财政收支月报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19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财政税源分析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84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多维度税源统计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84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动态趋势分析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84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税源变动预警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84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收入预测与决策支持</w:t>
            </w:r>
          </w:p>
        </w:tc>
      </w:tr>
    </w:tbl>
    <w:p>
      <w:pPr>
        <w:adjustRightInd w:val="0"/>
        <w:ind w:firstLine="482" w:firstLineChars="200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五、其他要求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2025年8月--2026年7</w:t>
      </w:r>
      <w:bookmarkStart w:id="13" w:name="_GoBack"/>
      <w:bookmarkEnd w:id="1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月。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实施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地点：采购人指定地点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.付款方式：签订合同后7个工作日内，采购人支付合同款50%,合同期满验收合格后7个工作日内支付剩余50%合同款。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31DF38"/>
    <w:multiLevelType w:val="singleLevel"/>
    <w:tmpl w:val="F531DF38"/>
    <w:lvl w:ilvl="0" w:tentative="0">
      <w:start w:val="1"/>
      <w:numFmt w:val="bullet"/>
      <w:lvlText w:val="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E2BDD"/>
    <w:rsid w:val="0E9E2BDD"/>
    <w:rsid w:val="2399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普通(网站) Char Char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2025-07-15T05:36:00Z</dcterms:created>
  <dc:creator>le</dc:creator>
  <cp:lastModifiedBy>张瑞</cp:lastModifiedBy>
  <dcterms:modified xsi:type="dcterms:W3CDTF">2025-07-15T06:15:44Z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8483DB4A93724BA5805A7289521FFDAC_11</vt:lpwstr>
  </property>
  <property fmtid="{D5CDD505-2E9C-101B-9397-08002B2CF9AE}" pid="4" name="KSOTemplateDocerSaveRecord">
    <vt:lpwstr>eyJoZGlkIjoiNzc3NGZiODMwZWIxNGQ1ZGM3NzU3NzM0MzJmZjJlOWYiLCJ1c2VySWQiOiIxMjY5NzgzNzg4In0=</vt:lpwstr>
  </property>
</Properties>
</file>