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9F8" w:rsidRDefault="00B053B2">
      <w:pPr>
        <w:pStyle w:val="a5"/>
        <w:widowControl/>
        <w:shd w:val="clear" w:color="auto" w:fill="FFFFFF"/>
        <w:spacing w:beforeAutospacing="0" w:after="150" w:afterAutospacing="0"/>
        <w:jc w:val="center"/>
        <w:rPr>
          <w:rStyle w:val="a6"/>
          <w:rFonts w:ascii="方正小标宋_GBK" w:eastAsia="方正小标宋_GBK" w:hAnsi="微软雅黑" w:cs="微软雅黑" w:hint="eastAsia"/>
          <w:color w:val="333333"/>
          <w:sz w:val="36"/>
          <w:szCs w:val="36"/>
          <w:shd w:val="clear" w:color="auto" w:fill="FFFFFF"/>
        </w:rPr>
      </w:pPr>
      <w:r w:rsidRPr="00B053B2">
        <w:rPr>
          <w:rStyle w:val="a6"/>
          <w:rFonts w:ascii="方正小标宋_GBK" w:eastAsia="方正小标宋_GBK" w:hAnsi="微软雅黑" w:cs="微软雅黑" w:hint="eastAsia"/>
          <w:color w:val="333333"/>
          <w:sz w:val="36"/>
          <w:szCs w:val="36"/>
          <w:shd w:val="clear" w:color="auto" w:fill="FFFFFF"/>
        </w:rPr>
        <w:t>企业会计准则解释第</w:t>
      </w:r>
      <w:r w:rsidRPr="00B053B2">
        <w:rPr>
          <w:rStyle w:val="a6"/>
          <w:rFonts w:ascii="方正小标宋_GBK" w:eastAsia="方正小标宋_GBK" w:hAnsi="微软雅黑" w:cs="微软雅黑" w:hint="eastAsia"/>
          <w:color w:val="333333"/>
          <w:sz w:val="36"/>
          <w:szCs w:val="36"/>
          <w:shd w:val="clear" w:color="auto" w:fill="FFFFFF"/>
        </w:rPr>
        <w:t>8</w:t>
      </w:r>
      <w:r w:rsidRPr="00B053B2">
        <w:rPr>
          <w:rStyle w:val="a6"/>
          <w:rFonts w:ascii="方正小标宋_GBK" w:eastAsia="方正小标宋_GBK" w:hAnsi="微软雅黑" w:cs="微软雅黑" w:hint="eastAsia"/>
          <w:color w:val="333333"/>
          <w:sz w:val="36"/>
          <w:szCs w:val="36"/>
          <w:shd w:val="clear" w:color="auto" w:fill="FFFFFF"/>
        </w:rPr>
        <w:t>号</w:t>
      </w:r>
    </w:p>
    <w:p w:rsidR="00B053B2" w:rsidRPr="00B053B2" w:rsidRDefault="00B053B2">
      <w:pPr>
        <w:pStyle w:val="a5"/>
        <w:widowControl/>
        <w:shd w:val="clear" w:color="auto" w:fill="FFFFFF"/>
        <w:spacing w:beforeAutospacing="0" w:after="150" w:afterAutospacing="0"/>
        <w:jc w:val="center"/>
        <w:rPr>
          <w:rFonts w:ascii="方正小标宋_GBK" w:eastAsia="方正小标宋_GBK" w:hAnsi="微软雅黑" w:cs="微软雅黑" w:hint="eastAsia"/>
          <w:color w:val="333333"/>
          <w:sz w:val="36"/>
          <w:szCs w:val="36"/>
        </w:rPr>
      </w:pPr>
    </w:p>
    <w:p w:rsidR="004F09F8" w:rsidRPr="00B053B2" w:rsidRDefault="00B053B2">
      <w:pPr>
        <w:pStyle w:val="a5"/>
        <w:widowControl/>
        <w:shd w:val="clear" w:color="auto" w:fill="FFFFFF"/>
        <w:spacing w:beforeAutospacing="0" w:after="150" w:afterAutospacing="0"/>
        <w:jc w:val="both"/>
        <w:rPr>
          <w:rFonts w:ascii="微软雅黑" w:eastAsia="微软雅黑" w:hAnsi="微软雅黑" w:cs="微软雅黑"/>
          <w:b/>
          <w:color w:val="333333"/>
          <w:sz w:val="21"/>
          <w:szCs w:val="21"/>
        </w:rPr>
      </w:pPr>
      <w:r w:rsidRPr="00B053B2">
        <w:rPr>
          <w:rFonts w:ascii="微软雅黑" w:eastAsia="微软雅黑" w:hAnsi="微软雅黑" w:cs="微软雅黑" w:hint="eastAsia"/>
          <w:b/>
          <w:color w:val="333333"/>
          <w:sz w:val="21"/>
          <w:szCs w:val="21"/>
          <w:shd w:val="clear" w:color="auto" w:fill="FFFFFF"/>
        </w:rPr>
        <w:t xml:space="preserve">　　一、商业银行及其子公司（以下统称为“商业银行”）应当如何判断是否控制其按照银行业监督管理委员会相关规定发行的理财产品（以下称为“理财产品”）？</w:t>
      </w:r>
      <w:bookmarkStart w:id="0" w:name="_GoBack"/>
      <w:bookmarkEnd w:id="0"/>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答：商业银行应当按照《企业会计准则第</w:t>
      </w:r>
      <w:r>
        <w:rPr>
          <w:rFonts w:ascii="微软雅黑" w:eastAsia="微软雅黑" w:hAnsi="微软雅黑" w:cs="微软雅黑" w:hint="eastAsia"/>
          <w:color w:val="333333"/>
          <w:sz w:val="21"/>
          <w:szCs w:val="21"/>
          <w:shd w:val="clear" w:color="auto" w:fill="FFFFFF"/>
        </w:rPr>
        <w:t>33</w:t>
      </w:r>
      <w:r>
        <w:rPr>
          <w:rFonts w:ascii="微软雅黑" w:eastAsia="微软雅黑" w:hAnsi="微软雅黑" w:cs="微软雅黑" w:hint="eastAsia"/>
          <w:color w:val="333333"/>
          <w:sz w:val="21"/>
          <w:szCs w:val="21"/>
          <w:shd w:val="clear" w:color="auto" w:fill="FFFFFF"/>
        </w:rPr>
        <w:t>号——合并财务报表》（以下简称《合并财务报表准则》）的相关规定，判断是否控制其发行的理财产品。如果商业银行控制该理财产品，应当按照《合并财务报表准则》的规定将该理财产品纳入合并范围。</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商业银行在判断是否控制其发行的理财产品时，应当综合考虑其本身直接享有以及通过所有子公司（包括控制的结构化主体）间接享有权利而拥有的权力、可变回报及其联系。分析可变回报时，至少应当关注以下方面：</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可变回报通常包括商业银行因向理财产品提供管理服务等获得的决策者薪酬和其他利益：前者包括各种形式的理财产品管理费（含各种形式的固定管理费和业绩报酬等），还可能包括以销售费、托管费以及其他各种服务收费的名义收取的实质上为决策者薪酬的收费；后者包括各种形式的直接投资收益，提供信用增级或支持等而获得的补偿或报酬，因提</w:t>
      </w:r>
      <w:r>
        <w:rPr>
          <w:rFonts w:ascii="微软雅黑" w:eastAsia="微软雅黑" w:hAnsi="微软雅黑" w:cs="微软雅黑" w:hint="eastAsia"/>
          <w:color w:val="333333"/>
          <w:sz w:val="21"/>
          <w:szCs w:val="21"/>
          <w:shd w:val="clear" w:color="auto" w:fill="FFFFFF"/>
        </w:rPr>
        <w:t>供信用增级或支持等而可能发生或承担的损失，与理财产品进行其他交易或者持有理财产品其他利益而取得的可变回报，以及销售费、托管费和其他各种名目的服务收费等。其中，提供的信用增级包括担保（例如保证理财产品投资者的本金或收益、为理财产品的债务提供保证等）、信贷承诺等；提供的支持包括财务或其他支持，例如流动性支持、回购承诺、向理财产品提供融资、购买理财产品持有的资产、同理财产品进行衍生交易等。</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商业银行在分析享有的可变回报时，不仅应当分析与理财产品相关的法律法规及各项合同安排的实质，还应当分析理财产品成本与收益是</w:t>
      </w:r>
      <w:r>
        <w:rPr>
          <w:rFonts w:ascii="微软雅黑" w:eastAsia="微软雅黑" w:hAnsi="微软雅黑" w:cs="微软雅黑" w:hint="eastAsia"/>
          <w:color w:val="333333"/>
          <w:sz w:val="21"/>
          <w:szCs w:val="21"/>
          <w:shd w:val="clear" w:color="auto" w:fill="FFFFFF"/>
        </w:rPr>
        <w:t>否清晰明确，交易定价（含收费）是否符</w:t>
      </w:r>
      <w:r>
        <w:rPr>
          <w:rFonts w:ascii="微软雅黑" w:eastAsia="微软雅黑" w:hAnsi="微软雅黑" w:cs="微软雅黑" w:hint="eastAsia"/>
          <w:color w:val="333333"/>
          <w:sz w:val="21"/>
          <w:szCs w:val="21"/>
          <w:shd w:val="clear" w:color="auto" w:fill="FFFFFF"/>
        </w:rPr>
        <w:lastRenderedPageBreak/>
        <w:t>合市场或行业惯例，以及是否存在其他可能导致商业银行最终承担理财产品损失的情况等。商业银行应当慎重考虑其是否在没有合同义务的情况下，对过去发行的具有类似特征的理财产品提供过信用增级或支持的事实或情况，至少包括以下几个方面：</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．提供该信用增级或支持的触发事件及其原因，以及预期未来发生类似事件的可能性和频率。</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．商业银行提供该信用增级或支持的原因，以及做出这一决定的内部控制和管理流程；预期未来出现类似触发事件时，是否仍将提供信用增级和支持（此评估应当基于商业银行对于</w:t>
      </w:r>
      <w:r>
        <w:rPr>
          <w:rFonts w:ascii="微软雅黑" w:eastAsia="微软雅黑" w:hAnsi="微软雅黑" w:cs="微软雅黑" w:hint="eastAsia"/>
          <w:color w:val="333333"/>
          <w:sz w:val="21"/>
          <w:szCs w:val="21"/>
          <w:shd w:val="clear" w:color="auto" w:fill="FFFFFF"/>
        </w:rPr>
        <w:t>此类事件的应对机制以及内部控制和管理流程，且应当考虑历史经验）。</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3</w:t>
      </w:r>
      <w:r>
        <w:rPr>
          <w:rFonts w:ascii="微软雅黑" w:eastAsia="微软雅黑" w:hAnsi="微软雅黑" w:cs="微软雅黑" w:hint="eastAsia"/>
          <w:color w:val="333333"/>
          <w:sz w:val="21"/>
          <w:szCs w:val="21"/>
          <w:shd w:val="clear" w:color="auto" w:fill="FFFFFF"/>
        </w:rPr>
        <w:t>．因提供信用增级或支持而从理财产品获取的对价，包括但不限于该对价是否公允，收取该对价是否存在不确定性以及不确定性的程度。</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4</w:t>
      </w:r>
      <w:r>
        <w:rPr>
          <w:rFonts w:ascii="微软雅黑" w:eastAsia="微软雅黑" w:hAnsi="微软雅黑" w:cs="微软雅黑" w:hint="eastAsia"/>
          <w:color w:val="333333"/>
          <w:sz w:val="21"/>
          <w:szCs w:val="21"/>
          <w:shd w:val="clear" w:color="auto" w:fill="FFFFFF"/>
        </w:rPr>
        <w:t>．因提供信用增级或支持而面临损失的风险程度。</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如果商业银行按照《合并财务报表准则》判断对所发行的理财产品不构成控制，但在该理财产品的存续期内，商业银行向该理财产品提供了合同义务以外的信用增级或支持，商业银行应当至少考虑上述各项事实和情况，重新评估是否对该理财产品形成控制。经重新评估后认定对理财产品具有控制的</w:t>
      </w:r>
      <w:r>
        <w:rPr>
          <w:rFonts w:ascii="微软雅黑" w:eastAsia="微软雅黑" w:hAnsi="微软雅黑" w:cs="微软雅黑" w:hint="eastAsia"/>
          <w:color w:val="333333"/>
          <w:sz w:val="21"/>
          <w:szCs w:val="21"/>
          <w:shd w:val="clear" w:color="auto" w:fill="FFFFFF"/>
        </w:rPr>
        <w:t>，商业银行应当将该理财产品纳入合并范围。同时，对于发行的具有类似特征（如具有类似合同条款、基础资产构成、投资者构成、商业银行参与理财产品而享有可变回报的构成等）的理财产品，商业银行也应当按照一致性原则予以重新评估。</w:t>
      </w:r>
    </w:p>
    <w:p w:rsidR="004F09F8" w:rsidRPr="00B053B2" w:rsidRDefault="00B053B2">
      <w:pPr>
        <w:pStyle w:val="a5"/>
        <w:widowControl/>
        <w:shd w:val="clear" w:color="auto" w:fill="FFFFFF"/>
        <w:spacing w:beforeAutospacing="0" w:after="150" w:afterAutospacing="0"/>
        <w:jc w:val="both"/>
        <w:rPr>
          <w:rFonts w:ascii="微软雅黑" w:eastAsia="微软雅黑" w:hAnsi="微软雅黑" w:cs="微软雅黑"/>
          <w:b/>
          <w:color w:val="333333"/>
          <w:sz w:val="21"/>
          <w:szCs w:val="21"/>
        </w:rPr>
      </w:pPr>
      <w:r w:rsidRPr="00B053B2">
        <w:rPr>
          <w:rFonts w:ascii="微软雅黑" w:eastAsia="微软雅黑" w:hAnsi="微软雅黑" w:cs="微软雅黑" w:hint="eastAsia"/>
          <w:b/>
          <w:color w:val="333333"/>
          <w:sz w:val="21"/>
          <w:szCs w:val="21"/>
          <w:shd w:val="clear" w:color="auto" w:fill="FFFFFF"/>
        </w:rPr>
        <w:t xml:space="preserve">　　二、商业银行应当如何对其发行的理财产品进行会计处理？</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答：商业银行发行的理财产品应当作为独立的会计主体，按照企业会计准则的相关规定进行会计处理。</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lastRenderedPageBreak/>
        <w:t xml:space="preserve">　　（一）会计核算</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对于理财产品持有或发行的金融工具，在采用《企业会计准则第</w:t>
      </w:r>
      <w:r>
        <w:rPr>
          <w:rFonts w:ascii="微软雅黑" w:eastAsia="微软雅黑" w:hAnsi="微软雅黑" w:cs="微软雅黑" w:hint="eastAsia"/>
          <w:color w:val="333333"/>
          <w:sz w:val="21"/>
          <w:szCs w:val="21"/>
          <w:shd w:val="clear" w:color="auto" w:fill="FFFFFF"/>
        </w:rPr>
        <w:t>22</w:t>
      </w:r>
      <w:r>
        <w:rPr>
          <w:rFonts w:ascii="微软雅黑" w:eastAsia="微软雅黑" w:hAnsi="微软雅黑" w:cs="微软雅黑" w:hint="eastAsia"/>
          <w:color w:val="333333"/>
          <w:sz w:val="21"/>
          <w:szCs w:val="21"/>
          <w:shd w:val="clear" w:color="auto" w:fill="FFFFFF"/>
        </w:rPr>
        <w:t>号——金融工具确认和计量》（以下简称《金融工具确认计量准则</w:t>
      </w:r>
      <w:r>
        <w:rPr>
          <w:rFonts w:ascii="微软雅黑" w:eastAsia="微软雅黑" w:hAnsi="微软雅黑" w:cs="微软雅黑" w:hint="eastAsia"/>
          <w:color w:val="333333"/>
          <w:sz w:val="21"/>
          <w:szCs w:val="21"/>
          <w:shd w:val="clear" w:color="auto" w:fill="FFFFFF"/>
        </w:rPr>
        <w:t>》）、《企业会计准则第</w:t>
      </w:r>
      <w:r>
        <w:rPr>
          <w:rFonts w:ascii="微软雅黑" w:eastAsia="微软雅黑" w:hAnsi="微软雅黑" w:cs="微软雅黑" w:hint="eastAsia"/>
          <w:color w:val="333333"/>
          <w:sz w:val="21"/>
          <w:szCs w:val="21"/>
          <w:shd w:val="clear" w:color="auto" w:fill="FFFFFF"/>
        </w:rPr>
        <w:t>37</w:t>
      </w:r>
      <w:r>
        <w:rPr>
          <w:rFonts w:ascii="微软雅黑" w:eastAsia="微软雅黑" w:hAnsi="微软雅黑" w:cs="微软雅黑" w:hint="eastAsia"/>
          <w:color w:val="333333"/>
          <w:sz w:val="21"/>
          <w:szCs w:val="21"/>
          <w:shd w:val="clear" w:color="auto" w:fill="FFFFFF"/>
        </w:rPr>
        <w:t>号——金融工具列报》（以下简称《金融工具列报准则》）和《企业会计准则第</w:t>
      </w:r>
      <w:r>
        <w:rPr>
          <w:rFonts w:ascii="微软雅黑" w:eastAsia="微软雅黑" w:hAnsi="微软雅黑" w:cs="微软雅黑" w:hint="eastAsia"/>
          <w:color w:val="333333"/>
          <w:sz w:val="21"/>
          <w:szCs w:val="21"/>
          <w:shd w:val="clear" w:color="auto" w:fill="FFFFFF"/>
        </w:rPr>
        <w:t>39</w:t>
      </w:r>
      <w:r>
        <w:rPr>
          <w:rFonts w:ascii="微软雅黑" w:eastAsia="微软雅黑" w:hAnsi="微软雅黑" w:cs="微软雅黑" w:hint="eastAsia"/>
          <w:color w:val="333333"/>
          <w:sz w:val="21"/>
          <w:szCs w:val="21"/>
          <w:shd w:val="clear" w:color="auto" w:fill="FFFFFF"/>
        </w:rPr>
        <w:t>号——公允价值计量》（以下简称《公允价值计量准则》）时，应当至少考虑以下内容：</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．分类</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对于理财产品持有的金融资产或金融负债，应当根据持有目的或意图、是否有活跃市场报价、金融工具现金流量特征等，按照《金融工具确认计量准则》有关金融资产或金融负债的分类原则进行恰当分类。</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如果理财产品持有的非衍生金融资产由于缺乏流动性而难以在市场上出售（如非标准化债权资产），则通常不能表明该金融资产是为了交易目的而</w:t>
      </w:r>
      <w:r>
        <w:rPr>
          <w:rFonts w:ascii="微软雅黑" w:eastAsia="微软雅黑" w:hAnsi="微软雅黑" w:cs="微软雅黑" w:hint="eastAsia"/>
          <w:color w:val="333333"/>
          <w:sz w:val="21"/>
          <w:szCs w:val="21"/>
          <w:shd w:val="clear" w:color="auto" w:fill="FFFFFF"/>
        </w:rPr>
        <w:t>持有的（如为了近期内出售，或者属于进行集中管理的可辨认金融工具组合的一部分，且有客观证据表明近期采用短期获利方式对该组合进行管理），因而不应当分类为以公允价值计量且其变动计入当期损益的金融资产中的交易性金融资产。</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如果理财产品持有的权益工具投资在活跃市场中没有报价，且采用估值技术后公允价值也不能可靠计量，则不得将其指定为以公允价值计量且其变动计入当期损益的金融资产。</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如果商业银行因为估值流程不完善或不具备估值能力，且未能或难以有效利用第三方估值等原因，无法或难以可靠地评估理财产品持有的金融资产或金融</w:t>
      </w:r>
      <w:r>
        <w:rPr>
          <w:rFonts w:ascii="微软雅黑" w:eastAsia="微软雅黑" w:hAnsi="微软雅黑" w:cs="微软雅黑" w:hint="eastAsia"/>
          <w:color w:val="333333"/>
          <w:sz w:val="21"/>
          <w:szCs w:val="21"/>
          <w:shd w:val="clear" w:color="auto" w:fill="FFFFFF"/>
        </w:rPr>
        <w:t>负债的公允价值，则通常不能表明其能以公允价值为基础对理财产品持有的金融资产或金融负债进行管理和评价，因而不得依据《金融工具确认计量准则》，将该金融资产或金融负债指定为以公允价值计量且其变动计入当期损益的金融工具。</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lastRenderedPageBreak/>
        <w:t xml:space="preserve">　　理财产品发行的金融工具，应当按照《金融工具列报准则》的相关规定进行分类。</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在对理财产品进行会计处理时，应当按照企业会计准则的相关规定规范使用会计科目，不得使用诸如“代理理财投资”等可能引起歧义的科目名称。</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．计量</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对于理财产品持有的金融资产或金融负债，应当按照《金融工具确认计量准</w:t>
      </w:r>
      <w:r>
        <w:rPr>
          <w:rFonts w:ascii="微软雅黑" w:eastAsia="微软雅黑" w:hAnsi="微软雅黑" w:cs="微软雅黑" w:hint="eastAsia"/>
          <w:color w:val="333333"/>
          <w:sz w:val="21"/>
          <w:szCs w:val="21"/>
          <w:shd w:val="clear" w:color="auto" w:fill="FFFFFF"/>
        </w:rPr>
        <w:t>则》、《公允价值计量准则》和其他相关准则进行计量。其中：</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）公允价值计量</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对于以公允价值计量的金融资产或金融负债，应当按照《公允价值计量准则》的相关规定确定其公允价值。通常情况下，金融工具初始确认的成本不符合后续公允价值计量要求，除非有充分的证据或理由表明该成本在计量日仍是对公允价值的恰当估计。</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）减值</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理财产品持有的除以公允价值计量且其变动计入当期损益之外的金融资产，应当按照《金融工具确认计量准则》中有关金融资产减值的规定，评估是否存在减值的客观证据，以及确定减值损失的金额并进行会计核算。</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（二）列报</w:t>
      </w:r>
    </w:p>
    <w:p w:rsidR="004F09F8" w:rsidRDefault="00B053B2">
      <w:pPr>
        <w:pStyle w:val="a5"/>
        <w:widowControl/>
        <w:shd w:val="clear" w:color="auto" w:fill="FFFFFF"/>
        <w:spacing w:beforeAutospacing="0" w:after="150" w:afterAutospacing="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FFFFF"/>
        </w:rPr>
        <w:t xml:space="preserve">　　商业银行是编报理财产品财务报表的法定责任人。如果相关法律法规或监管部门要求报送或公开理财产品财务报表，商业银行应当确保其报送或公开的理财产品财务报表符合企业会计准则的要求。</w:t>
      </w:r>
    </w:p>
    <w:p w:rsidR="004F09F8" w:rsidRPr="00B053B2" w:rsidRDefault="00B053B2">
      <w:pPr>
        <w:pStyle w:val="a5"/>
        <w:widowControl/>
        <w:shd w:val="clear" w:color="auto" w:fill="FFFFFF"/>
        <w:spacing w:beforeAutospacing="0" w:after="150" w:afterAutospacing="0"/>
        <w:jc w:val="both"/>
        <w:rPr>
          <w:rFonts w:ascii="微软雅黑" w:eastAsia="微软雅黑" w:hAnsi="微软雅黑" w:cs="微软雅黑"/>
          <w:b/>
          <w:color w:val="333333"/>
          <w:sz w:val="21"/>
          <w:szCs w:val="21"/>
        </w:rPr>
      </w:pPr>
      <w:r w:rsidRPr="00B053B2">
        <w:rPr>
          <w:rFonts w:ascii="微软雅黑" w:eastAsia="微软雅黑" w:hAnsi="微软雅黑" w:cs="微软雅黑" w:hint="eastAsia"/>
          <w:b/>
          <w:color w:val="333333"/>
          <w:sz w:val="21"/>
          <w:szCs w:val="21"/>
          <w:shd w:val="clear" w:color="auto" w:fill="FFFFFF"/>
        </w:rPr>
        <w:lastRenderedPageBreak/>
        <w:t xml:space="preserve">　　三、商业银行应当在</w:t>
      </w:r>
      <w:r w:rsidRPr="00B053B2">
        <w:rPr>
          <w:rFonts w:ascii="微软雅黑" w:eastAsia="微软雅黑" w:hAnsi="微软雅黑" w:cs="微软雅黑" w:hint="eastAsia"/>
          <w:b/>
          <w:color w:val="333333"/>
          <w:sz w:val="21"/>
          <w:szCs w:val="21"/>
          <w:shd w:val="clear" w:color="auto" w:fill="FFFFFF"/>
        </w:rPr>
        <w:t>2016</w:t>
      </w:r>
      <w:r w:rsidRPr="00B053B2">
        <w:rPr>
          <w:rFonts w:ascii="微软雅黑" w:eastAsia="微软雅黑" w:hAnsi="微软雅黑" w:cs="微软雅黑" w:hint="eastAsia"/>
          <w:b/>
          <w:color w:val="333333"/>
          <w:sz w:val="21"/>
          <w:szCs w:val="21"/>
          <w:shd w:val="clear" w:color="auto" w:fill="FFFFFF"/>
        </w:rPr>
        <w:t>年年度及以后期间的财务报告中适用本解释要求。本解释生效前商业银行对理财产品的会计处理与本解释</w:t>
      </w:r>
      <w:r w:rsidRPr="00B053B2">
        <w:rPr>
          <w:rFonts w:ascii="微软雅黑" w:eastAsia="微软雅黑" w:hAnsi="微软雅黑" w:cs="微软雅黑" w:hint="eastAsia"/>
          <w:b/>
          <w:color w:val="333333"/>
          <w:sz w:val="21"/>
          <w:szCs w:val="21"/>
          <w:shd w:val="clear" w:color="auto" w:fill="FFFFFF"/>
        </w:rPr>
        <w:t>不一致的，应当进行追溯调整，追溯调整不可行的除外。</w:t>
      </w:r>
    </w:p>
    <w:p w:rsidR="004F09F8" w:rsidRDefault="004F09F8"/>
    <w:sectPr w:rsidR="004F09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4F09F8"/>
    <w:rsid w:val="00561186"/>
    <w:rsid w:val="00B053B2"/>
    <w:rsid w:val="00C301AA"/>
    <w:rsid w:val="0A742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402</Words>
  <Characters>2293</Characters>
  <Application>Microsoft Office Word</Application>
  <DocSecurity>0</DocSecurity>
  <Lines>19</Lines>
  <Paragraphs>5</Paragraphs>
  <ScaleCrop>false</ScaleCrop>
  <Company/>
  <LinksUpToDate>false</LinksUpToDate>
  <CharactersWithSpaces>2690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2E985D19B4AA4691906E92816CDF1A93</vt:lpwstr>
  </property>
</Properties>
</file>