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黑体" w:eastAsia="黑体"/>
          <w:b/>
          <w:bCs/>
          <w:sz w:val="44"/>
          <w:szCs w:val="44"/>
        </w:rPr>
      </w:pPr>
      <w:r>
        <w:rPr>
          <w:rFonts w:hint="eastAsia" w:ascii="黑体" w:eastAsia="黑体"/>
          <w:b/>
          <w:bCs/>
          <w:sz w:val="44"/>
          <w:szCs w:val="44"/>
        </w:rPr>
        <w:t>企业会计准则解释第5号</w:t>
      </w:r>
    </w:p>
    <w:p>
      <w:pPr>
        <w:spacing w:line="440" w:lineRule="exact"/>
        <w:rPr>
          <w:rFonts w:hint="eastAsia" w:ascii="黑体" w:eastAsia="黑体"/>
          <w:b/>
          <w:bCs/>
          <w:sz w:val="44"/>
          <w:szCs w:val="44"/>
        </w:rPr>
      </w:pPr>
    </w:p>
    <w:p>
      <w:pPr>
        <w:spacing w:line="440" w:lineRule="exact"/>
        <w:ind w:firstLine="640" w:firstLineChars="200"/>
        <w:rPr>
          <w:rFonts w:hint="eastAsia" w:ascii="仿宋_GB2312" w:eastAsia="仿宋_GB2312"/>
          <w:bCs/>
          <w:sz w:val="32"/>
          <w:szCs w:val="32"/>
        </w:rPr>
      </w:pPr>
    </w:p>
    <w:p>
      <w:pPr>
        <w:spacing w:line="360" w:lineRule="auto"/>
        <w:ind w:firstLine="643" w:firstLineChars="200"/>
        <w:rPr>
          <w:rFonts w:hint="eastAsia" w:eastAsia="仿宋_GB2312"/>
          <w:b/>
          <w:sz w:val="32"/>
          <w:szCs w:val="32"/>
        </w:rPr>
      </w:pPr>
      <w:r>
        <w:rPr>
          <w:rFonts w:hint="eastAsia" w:eastAsia="仿宋_GB2312"/>
          <w:b/>
          <w:sz w:val="32"/>
          <w:szCs w:val="32"/>
        </w:rPr>
        <w:t>一、非同一控制下的企业合并中，购买方应如何确认取得的被购买方拥有的但在其财务报表中未确认的无形资产？</w:t>
      </w:r>
    </w:p>
    <w:p>
      <w:pPr>
        <w:spacing w:line="360" w:lineRule="auto"/>
        <w:ind w:firstLine="643" w:firstLineChars="200"/>
        <w:rPr>
          <w:rFonts w:hint="eastAsia" w:eastAsia="仿宋_GB2312"/>
          <w:sz w:val="32"/>
          <w:szCs w:val="32"/>
        </w:rPr>
      </w:pPr>
      <w:r>
        <w:rPr>
          <w:rFonts w:hint="eastAsia" w:eastAsia="仿宋_GB2312"/>
          <w:b/>
          <w:sz w:val="32"/>
          <w:szCs w:val="32"/>
        </w:rPr>
        <w:t>答：</w:t>
      </w:r>
      <w:r>
        <w:rPr>
          <w:rFonts w:hint="eastAsia" w:eastAsia="仿宋_GB2312"/>
          <w:sz w:val="32"/>
          <w:szCs w:val="32"/>
        </w:rPr>
        <w:t>非同一控制下的企业合并中，购买方在对企业合并中取得的被购买方资产进行初始确认时，应当对被购买方拥有的但在其财务报表中未确认的无形资产进行充分辨认和合理判断，满足以下条件之一的，应确认为无形资产：</w:t>
      </w:r>
    </w:p>
    <w:p>
      <w:pPr>
        <w:spacing w:line="360" w:lineRule="auto"/>
        <w:ind w:firstLine="640" w:firstLineChars="200"/>
        <w:rPr>
          <w:rFonts w:hint="eastAsia" w:eastAsia="仿宋_GB2312"/>
          <w:sz w:val="32"/>
          <w:szCs w:val="32"/>
        </w:rPr>
      </w:pPr>
      <w:r>
        <w:rPr>
          <w:rFonts w:hint="eastAsia" w:eastAsia="仿宋_GB2312"/>
          <w:sz w:val="32"/>
          <w:szCs w:val="32"/>
        </w:rPr>
        <w:t>（一）源于合同性权利或其他法定权利；</w:t>
      </w:r>
    </w:p>
    <w:p>
      <w:pPr>
        <w:spacing w:line="360" w:lineRule="auto"/>
        <w:ind w:firstLine="640" w:firstLineChars="200"/>
        <w:rPr>
          <w:rFonts w:hint="eastAsia" w:eastAsia="仿宋_GB2312"/>
          <w:sz w:val="32"/>
          <w:szCs w:val="32"/>
        </w:rPr>
      </w:pPr>
      <w:r>
        <w:rPr>
          <w:rFonts w:hint="eastAsia" w:eastAsia="仿宋_GB2312"/>
          <w:sz w:val="32"/>
          <w:szCs w:val="32"/>
        </w:rPr>
        <w:t>（二）能够从被购买方中分离或者划分出来，并能单独或与相关合同、资产和负债一起，用于出售、转移、授予许可、租赁或交换。</w:t>
      </w:r>
    </w:p>
    <w:p>
      <w:pPr>
        <w:spacing w:line="360" w:lineRule="auto"/>
        <w:ind w:firstLine="640" w:firstLineChars="200"/>
        <w:rPr>
          <w:rFonts w:hint="eastAsia" w:eastAsia="仿宋_GB2312"/>
          <w:sz w:val="32"/>
          <w:szCs w:val="32"/>
        </w:rPr>
      </w:pPr>
      <w:r>
        <w:rPr>
          <w:rFonts w:hint="eastAsia" w:eastAsia="仿宋_GB2312"/>
          <w:sz w:val="32"/>
          <w:szCs w:val="32"/>
        </w:rPr>
        <w:t>企业应当在附注中披露在非同一控制下的企业合并中取得的被购买方无形资产的公允价值及其公允价值的确定方法。</w:t>
      </w:r>
    </w:p>
    <w:p>
      <w:pPr>
        <w:spacing w:line="360" w:lineRule="auto"/>
        <w:ind w:firstLine="643" w:firstLineChars="200"/>
        <w:rPr>
          <w:rFonts w:hint="eastAsia" w:eastAsia="仿宋_GB2312"/>
          <w:b/>
          <w:sz w:val="32"/>
          <w:szCs w:val="32"/>
        </w:rPr>
      </w:pPr>
      <w:r>
        <w:rPr>
          <w:rFonts w:hint="eastAsia" w:eastAsia="仿宋_GB2312"/>
          <w:b/>
          <w:sz w:val="32"/>
          <w:szCs w:val="32"/>
        </w:rPr>
        <w:t>二、企业开展信用风险缓释工具相关业务，应当如何进行会计处理？</w:t>
      </w:r>
    </w:p>
    <w:p>
      <w:pPr>
        <w:spacing w:line="360" w:lineRule="auto"/>
        <w:ind w:firstLine="643" w:firstLineChars="200"/>
        <w:rPr>
          <w:rFonts w:hint="eastAsia" w:eastAsia="仿宋_GB2312"/>
          <w:sz w:val="32"/>
          <w:szCs w:val="32"/>
        </w:rPr>
      </w:pPr>
      <w:r>
        <w:rPr>
          <w:rFonts w:hint="eastAsia" w:eastAsia="仿宋_GB2312"/>
          <w:b/>
          <w:sz w:val="32"/>
          <w:szCs w:val="32"/>
        </w:rPr>
        <w:t>答：</w:t>
      </w:r>
      <w:r>
        <w:rPr>
          <w:rFonts w:hint="eastAsia" w:eastAsia="仿宋_GB2312"/>
          <w:sz w:val="32"/>
          <w:szCs w:val="32"/>
        </w:rPr>
        <w:t>信用风险缓释工具，是指信用风险缓释合约、信用风险缓释凭证及其他用于管理信用风险的信用衍生产品。信用风险缓释合约，是指交易双方达成的、约定在未来一定期限内，信用保护买方按照约定的标准和方式向信用保护卖方支付信用保护费用，由信用保护卖方就约定的标的债务向信用保护买方提供信用风险保护的金融合约。信用风险缓释凭证，是指由标的实体以外的机构创设，为凭证持有人就标的债务提供信用风险保护的、可交易流通的有价凭证。</w:t>
      </w:r>
    </w:p>
    <w:p>
      <w:pPr>
        <w:spacing w:line="360" w:lineRule="auto"/>
        <w:ind w:firstLine="640" w:firstLineChars="200"/>
        <w:rPr>
          <w:rFonts w:hint="eastAsia" w:eastAsia="仿宋_GB2312"/>
          <w:sz w:val="32"/>
          <w:szCs w:val="32"/>
        </w:rPr>
      </w:pPr>
      <w:r>
        <w:rPr>
          <w:rFonts w:hint="eastAsia" w:eastAsia="仿宋_GB2312"/>
          <w:sz w:val="32"/>
          <w:szCs w:val="32"/>
        </w:rPr>
        <w:t>信用保护买方和卖方应当根据信用风险缓释工具的合同条款，按照实质重于形式的原则，判断信用风险缓释工具是否属于财务担保合同，并分别下列情况进行处理：</w:t>
      </w:r>
    </w:p>
    <w:p>
      <w:pPr>
        <w:spacing w:line="360" w:lineRule="auto"/>
        <w:ind w:firstLine="640" w:firstLineChars="200"/>
        <w:rPr>
          <w:rFonts w:hint="eastAsia" w:eastAsia="仿宋_GB2312"/>
          <w:sz w:val="32"/>
          <w:szCs w:val="32"/>
        </w:rPr>
      </w:pPr>
      <w:r>
        <w:rPr>
          <w:rFonts w:hint="eastAsia" w:eastAsia="仿宋_GB2312"/>
          <w:sz w:val="32"/>
          <w:szCs w:val="32"/>
        </w:rPr>
        <w:t>（一）属于财务担保合同的信用风险缓释工具，除融资性担保公司根据《企业会计准则解释第4号》第八条的规定处理外，信用保护买方和卖方应当按照《企业会计准则第22号——金融工具确认和计量》中有关财务担保合同的规定进行会计处理。其中，信用保护买方支付的信用保护费用和信用保护卖方取得的信用保护收入，应当在财务担保合同期间内按照合理的基础进行摊销，计入各期损益。</w:t>
      </w:r>
    </w:p>
    <w:p>
      <w:pPr>
        <w:spacing w:line="360" w:lineRule="auto"/>
        <w:ind w:firstLine="640" w:firstLineChars="200"/>
        <w:rPr>
          <w:rFonts w:hint="eastAsia" w:eastAsia="仿宋_GB2312"/>
          <w:sz w:val="32"/>
          <w:szCs w:val="32"/>
        </w:rPr>
      </w:pPr>
      <w:r>
        <w:rPr>
          <w:rFonts w:hint="eastAsia" w:eastAsia="仿宋_GB2312"/>
          <w:sz w:val="32"/>
          <w:szCs w:val="32"/>
        </w:rPr>
        <w:t>（二）不属于财务担保合同的其他信用风险缓释工具，信用保护买方和卖方应当按照《企业会计准则第22号——金融工具确认和计量》的规定，将其归类为衍生工具进行会计处理。</w:t>
      </w:r>
    </w:p>
    <w:p>
      <w:pPr>
        <w:spacing w:line="360" w:lineRule="auto"/>
        <w:ind w:firstLine="640" w:firstLineChars="200"/>
        <w:rPr>
          <w:rFonts w:hint="eastAsia" w:eastAsia="仿宋_GB2312"/>
          <w:sz w:val="32"/>
          <w:szCs w:val="32"/>
        </w:rPr>
      </w:pPr>
      <w:r>
        <w:rPr>
          <w:rFonts w:hint="eastAsia" w:eastAsia="仿宋_GB2312"/>
          <w:sz w:val="32"/>
          <w:szCs w:val="32"/>
        </w:rPr>
        <w:t>财务担保合同，是指当特定债务人到期不能按照最初或修改后的债务工具条款偿付时，要求签发人向蒙受损失的合同持有人赔付特定金额的合同。</w:t>
      </w:r>
    </w:p>
    <w:p>
      <w:pPr>
        <w:spacing w:line="360" w:lineRule="auto"/>
        <w:ind w:firstLine="640" w:firstLineChars="200"/>
        <w:rPr>
          <w:rFonts w:hint="eastAsia" w:eastAsia="仿宋_GB2312"/>
          <w:b/>
          <w:sz w:val="32"/>
          <w:szCs w:val="32"/>
        </w:rPr>
      </w:pPr>
      <w:r>
        <w:rPr>
          <w:rFonts w:hint="eastAsia" w:eastAsia="仿宋_GB2312"/>
          <w:sz w:val="32"/>
          <w:szCs w:val="32"/>
        </w:rPr>
        <w:t>开展信用风险缓释工具相关业务的信用保护买方和卖方，应当根据信用风险缓释工具的分类，分别按照《企业会计准则第37号——金融工具列报》、《企业会计准则第25号——原保险合同》或《企业会计准则第26号——再保险合同》以及《企业会计准则第30号——财务报表列报》进行列报。</w:t>
      </w:r>
    </w:p>
    <w:p>
      <w:pPr>
        <w:spacing w:line="360" w:lineRule="auto"/>
        <w:ind w:firstLine="643" w:firstLineChars="200"/>
        <w:rPr>
          <w:rFonts w:hint="eastAsia" w:eastAsia="仿宋_GB2312"/>
          <w:b/>
          <w:sz w:val="32"/>
          <w:szCs w:val="32"/>
        </w:rPr>
      </w:pPr>
      <w:r>
        <w:rPr>
          <w:rFonts w:hint="eastAsia" w:eastAsia="仿宋_GB2312"/>
          <w:b/>
          <w:sz w:val="32"/>
          <w:szCs w:val="32"/>
        </w:rPr>
        <w:t>三、企业采用附追索权方式出售金融资产，或将持有的金融资产背书转让，是否应当终止确认该金融资产？</w:t>
      </w:r>
    </w:p>
    <w:p>
      <w:pPr>
        <w:spacing w:line="360" w:lineRule="auto"/>
        <w:ind w:firstLine="643" w:firstLineChars="200"/>
        <w:rPr>
          <w:rFonts w:hint="eastAsia" w:eastAsia="仿宋_GB2312"/>
          <w:b/>
          <w:sz w:val="32"/>
          <w:szCs w:val="32"/>
        </w:rPr>
      </w:pPr>
      <w:r>
        <w:rPr>
          <w:rFonts w:hint="eastAsia" w:eastAsia="仿宋_GB2312"/>
          <w:b/>
          <w:sz w:val="32"/>
          <w:szCs w:val="32"/>
        </w:rPr>
        <w:t>答：</w:t>
      </w:r>
      <w:r>
        <w:rPr>
          <w:rFonts w:hint="eastAsia" w:eastAsia="仿宋_GB2312"/>
          <w:sz w:val="32"/>
          <w:szCs w:val="32"/>
        </w:rPr>
        <w:t>企业对采用附追索权方式出售的金融资产，或将持有的金融资产背书转让，应当根据《企业会计准则第23号——金融资产转移》的规定，确定该金融资产所有权上几乎所有的风险和报酬是否已经转移。企业已将该金融资产所有权上几乎所有的风险和报酬转移给转入方的，应当终止确认该金融资产；保留了金融资产所有权上几乎所有的风险和报酬的，不应当终止确认该金融资产；既没有转移也没有保留金融资产所有权上几乎所有的风险和报酬的，应当继续判断企业是否对该资产保留了控制，并根据《企业会计准则第23号——金融资产转移》的规定进行会计处理。</w:t>
      </w:r>
    </w:p>
    <w:p>
      <w:pPr>
        <w:spacing w:line="360" w:lineRule="auto"/>
        <w:ind w:firstLine="643" w:firstLineChars="200"/>
        <w:rPr>
          <w:rFonts w:hint="eastAsia" w:eastAsia="仿宋_GB2312"/>
          <w:b/>
          <w:sz w:val="32"/>
          <w:szCs w:val="32"/>
        </w:rPr>
      </w:pPr>
      <w:r>
        <w:rPr>
          <w:rFonts w:hint="eastAsia" w:eastAsia="仿宋_GB2312"/>
          <w:b/>
          <w:sz w:val="32"/>
          <w:szCs w:val="32"/>
        </w:rPr>
        <w:t>四、银行业金融机构开展同业代付业务，应当如何进行会计处理？</w:t>
      </w:r>
    </w:p>
    <w:p>
      <w:pPr>
        <w:spacing w:line="360" w:lineRule="auto"/>
        <w:ind w:firstLine="643" w:firstLineChars="200"/>
        <w:rPr>
          <w:rFonts w:hint="eastAsia" w:eastAsia="仿宋_GB2312"/>
          <w:sz w:val="32"/>
          <w:szCs w:val="32"/>
        </w:rPr>
      </w:pPr>
      <w:r>
        <w:rPr>
          <w:rFonts w:hint="eastAsia" w:eastAsia="仿宋_GB2312"/>
          <w:b/>
          <w:sz w:val="32"/>
          <w:szCs w:val="32"/>
        </w:rPr>
        <w:t>答：</w:t>
      </w:r>
      <w:r>
        <w:rPr>
          <w:rFonts w:hint="eastAsia" w:eastAsia="仿宋_GB2312"/>
          <w:sz w:val="32"/>
          <w:szCs w:val="32"/>
        </w:rPr>
        <w:t>银行业金融机构应当根据委托行（发起行、开证行）与受托行（代付行）签订的代付业务协议条款判断同业代付交易的实质，按照融资资金的提供方不同以及代付本金和利息的偿还责任不同，分别下列情况进行处理：</w:t>
      </w:r>
    </w:p>
    <w:p>
      <w:pPr>
        <w:spacing w:line="360" w:lineRule="auto"/>
        <w:ind w:firstLine="640" w:firstLineChars="200"/>
        <w:rPr>
          <w:rFonts w:hint="eastAsia" w:eastAsia="仿宋_GB2312"/>
          <w:sz w:val="32"/>
          <w:szCs w:val="32"/>
        </w:rPr>
      </w:pPr>
      <w:r>
        <w:rPr>
          <w:rFonts w:hint="eastAsia" w:eastAsia="仿宋_GB2312"/>
          <w:sz w:val="32"/>
          <w:szCs w:val="32"/>
        </w:rPr>
        <w:t>（一）如果委托行承担合同义务在约定还款日无条件向受托行偿还代付本金和利息，委托行应当按照《企业会计准则第22号——金融工具确认和计量》，将相关交易作为对申请人发放贷款处理，受托行应当将相关交易作为向委托行拆出资金处理。</w:t>
      </w:r>
    </w:p>
    <w:p>
      <w:pPr>
        <w:spacing w:line="360" w:lineRule="auto"/>
        <w:ind w:firstLine="640" w:firstLineChars="200"/>
        <w:rPr>
          <w:rFonts w:hint="eastAsia" w:eastAsia="仿宋_GB2312"/>
          <w:sz w:val="32"/>
          <w:szCs w:val="32"/>
        </w:rPr>
      </w:pPr>
      <w:r>
        <w:rPr>
          <w:rFonts w:hint="eastAsia" w:eastAsia="仿宋_GB2312"/>
          <w:sz w:val="32"/>
          <w:szCs w:val="32"/>
        </w:rPr>
        <w:t>（二）如果申请人承担合同义务向受托行在约定还款日偿还代付本金和利息（无论还款是否通过委托行），委托行仅在申请人到期未能偿还代付本金和利息的情况下，才向受托行无条件偿还代付本金和利息的，对于相关交易中的担保部分，委托行应当按照《企业会计准则第22号——金融工具确认和计量》对财务担保合同的规定处理；对于相关交易中的代理责任部分，委托行应当按照《企业会计准则第14号——收入》处理。受托行应当按照《企业会计准则第22号——金融工具确认和计量》，将相关交易作为对申请人发放贷款处理。</w:t>
      </w:r>
    </w:p>
    <w:p>
      <w:pPr>
        <w:spacing w:line="360" w:lineRule="auto"/>
        <w:ind w:firstLine="640" w:firstLineChars="200"/>
        <w:rPr>
          <w:rFonts w:hint="eastAsia" w:eastAsia="仿宋_GB2312"/>
          <w:sz w:val="32"/>
          <w:szCs w:val="32"/>
        </w:rPr>
      </w:pPr>
      <w:r>
        <w:rPr>
          <w:rFonts w:hint="eastAsia" w:eastAsia="仿宋_GB2312"/>
          <w:sz w:val="32"/>
          <w:szCs w:val="32"/>
        </w:rPr>
        <w:t>银行业金融机构应当严格遵循《企业会计准则第37号——金融工具列报》和其他相关准则的规定，对同业代付业务涉及的金融资产、金融负债、贷款承诺、担保、代理责任等相关信息进行列报。同业代付业务产生的金融资产和金融负债不得随意抵销。</w:t>
      </w:r>
    </w:p>
    <w:p>
      <w:pPr>
        <w:spacing w:line="360" w:lineRule="auto"/>
        <w:ind w:firstLine="640" w:firstLineChars="200"/>
        <w:rPr>
          <w:rFonts w:hint="eastAsia" w:eastAsia="仿宋_GB2312"/>
          <w:b/>
          <w:sz w:val="32"/>
          <w:szCs w:val="32"/>
        </w:rPr>
      </w:pPr>
      <w:r>
        <w:rPr>
          <w:rFonts w:hint="eastAsia" w:eastAsia="仿宋_GB2312"/>
          <w:sz w:val="32"/>
          <w:szCs w:val="32"/>
        </w:rPr>
        <w:t>本条解释既适用于信用证项下的同业代付业务，也适用于保理项下的同业代付业务。</w:t>
      </w:r>
    </w:p>
    <w:p>
      <w:pPr>
        <w:spacing w:line="360" w:lineRule="auto"/>
        <w:ind w:firstLine="643" w:firstLineChars="200"/>
        <w:rPr>
          <w:rFonts w:hint="eastAsia" w:eastAsia="仿宋_GB2312"/>
          <w:b/>
          <w:sz w:val="32"/>
          <w:szCs w:val="32"/>
        </w:rPr>
      </w:pPr>
      <w:r>
        <w:rPr>
          <w:rFonts w:hint="eastAsia" w:ascii="仿宋_GB2312" w:eastAsia="仿宋_GB2312"/>
          <w:b/>
          <w:sz w:val="32"/>
          <w:szCs w:val="32"/>
        </w:rPr>
        <w:t>五、</w:t>
      </w:r>
      <w:r>
        <w:rPr>
          <w:rFonts w:hint="eastAsia" w:eastAsia="仿宋_GB2312"/>
          <w:b/>
          <w:sz w:val="32"/>
          <w:szCs w:val="32"/>
        </w:rPr>
        <w:t>企业通过多次交易分步处置对子公司股权投资直至丧失控制权，应当如何进行会计处理？</w:t>
      </w:r>
    </w:p>
    <w:p>
      <w:pPr>
        <w:spacing w:line="360" w:lineRule="auto"/>
        <w:ind w:firstLine="643" w:firstLineChars="200"/>
        <w:rPr>
          <w:rFonts w:hint="eastAsia" w:eastAsia="仿宋_GB2312"/>
          <w:sz w:val="32"/>
          <w:szCs w:val="32"/>
        </w:rPr>
      </w:pPr>
      <w:r>
        <w:rPr>
          <w:rFonts w:hint="eastAsia" w:eastAsia="仿宋_GB2312"/>
          <w:b/>
          <w:sz w:val="32"/>
          <w:szCs w:val="32"/>
        </w:rPr>
        <w:t>答</w:t>
      </w:r>
      <w:r>
        <w:rPr>
          <w:rFonts w:hint="eastAsia" w:eastAsia="仿宋_GB2312"/>
          <w:sz w:val="32"/>
          <w:szCs w:val="32"/>
        </w:rPr>
        <w:t>： 企业通过多次交易分步处置对子公司股权投资直至丧失控制权的，应当按照《关于执行会计准则的上市公司和非上市企业做好2009年年报工作的通知》（财会[2009]16号）和《企业会计准则解释第4号》（财会[2010</w:t>
      </w:r>
      <w:r>
        <w:rPr>
          <w:rFonts w:eastAsia="仿宋_GB2312"/>
          <w:sz w:val="32"/>
          <w:szCs w:val="32"/>
        </w:rPr>
        <w:t>]</w:t>
      </w:r>
      <w:r>
        <w:rPr>
          <w:rFonts w:hint="eastAsia" w:eastAsia="仿宋_GB2312"/>
          <w:sz w:val="32"/>
          <w:szCs w:val="32"/>
        </w:rPr>
        <w:t>15号）的规定对每一项交易进行会计处理。处置对子公司股权投资直至丧失控制权的各项交易属于一揽子交易的，应当将各项交易作为一项处置子公司并丧失控制权的交易进行会计处理；但是，在丧失控制权之前每一次处置价款与处置投资对应的享有该子公司净资产份额的差额，在合并财务报表中应当确认为其他综合收益，在丧失控制权时一并转入丧失控制权当期的损益。</w:t>
      </w:r>
    </w:p>
    <w:p>
      <w:pPr>
        <w:spacing w:line="360" w:lineRule="auto"/>
        <w:ind w:firstLine="640" w:firstLineChars="200"/>
        <w:rPr>
          <w:rFonts w:hint="eastAsia" w:eastAsia="仿宋_GB2312"/>
          <w:sz w:val="32"/>
          <w:szCs w:val="32"/>
        </w:rPr>
      </w:pPr>
      <w:r>
        <w:rPr>
          <w:rFonts w:hint="eastAsia" w:eastAsia="仿宋_GB2312"/>
          <w:sz w:val="32"/>
          <w:szCs w:val="32"/>
        </w:rPr>
        <w:t>处置对子公司股权投资的各项交易的条款、条件以及经济影响符合以下一种或多种情况，通常表明应将多次交易事项作为一揽子交易进行会计处理：</w:t>
      </w:r>
    </w:p>
    <w:p>
      <w:pPr>
        <w:spacing w:line="360" w:lineRule="auto"/>
        <w:ind w:firstLine="640" w:firstLineChars="200"/>
        <w:rPr>
          <w:rFonts w:hint="eastAsia" w:eastAsia="仿宋_GB2312"/>
          <w:sz w:val="32"/>
          <w:szCs w:val="32"/>
        </w:rPr>
      </w:pPr>
      <w:r>
        <w:rPr>
          <w:rFonts w:hint="eastAsia" w:eastAsia="仿宋_GB2312"/>
          <w:sz w:val="32"/>
          <w:szCs w:val="32"/>
        </w:rPr>
        <w:t>（1）这些交易是同时或者在考虑了彼此影响的情况下订立的；</w:t>
      </w:r>
    </w:p>
    <w:p>
      <w:pPr>
        <w:spacing w:line="360" w:lineRule="auto"/>
        <w:ind w:firstLine="640" w:firstLineChars="200"/>
        <w:rPr>
          <w:rFonts w:hint="eastAsia" w:eastAsia="仿宋_GB2312"/>
          <w:sz w:val="32"/>
          <w:szCs w:val="32"/>
        </w:rPr>
      </w:pPr>
      <w:r>
        <w:rPr>
          <w:rFonts w:hint="eastAsia" w:eastAsia="仿宋_GB2312"/>
          <w:sz w:val="32"/>
          <w:szCs w:val="32"/>
        </w:rPr>
        <w:t>（2）这些交易整体才能达成一项完整的商业结果；</w:t>
      </w:r>
    </w:p>
    <w:p>
      <w:pPr>
        <w:spacing w:line="360" w:lineRule="auto"/>
        <w:ind w:firstLine="640" w:firstLineChars="200"/>
        <w:rPr>
          <w:rFonts w:hint="eastAsia" w:eastAsia="仿宋_GB2312"/>
          <w:sz w:val="32"/>
          <w:szCs w:val="32"/>
        </w:rPr>
      </w:pPr>
      <w:r>
        <w:rPr>
          <w:rFonts w:hint="eastAsia" w:eastAsia="仿宋_GB2312"/>
          <w:sz w:val="32"/>
          <w:szCs w:val="32"/>
        </w:rPr>
        <w:t>（3）一项交易的发生取决于其他至少一项交易的发生；</w:t>
      </w:r>
    </w:p>
    <w:p>
      <w:pPr>
        <w:spacing w:line="360" w:lineRule="auto"/>
        <w:ind w:firstLine="640" w:firstLineChars="200"/>
        <w:rPr>
          <w:rFonts w:hint="eastAsia" w:eastAsia="仿宋_GB2312"/>
          <w:sz w:val="32"/>
          <w:szCs w:val="32"/>
        </w:rPr>
      </w:pPr>
      <w:r>
        <w:rPr>
          <w:rFonts w:hint="eastAsia" w:eastAsia="仿宋_GB2312"/>
          <w:sz w:val="32"/>
          <w:szCs w:val="32"/>
        </w:rPr>
        <w:t>（4）一项交易单独看是不经济的，但是和其他交易一并考虑时是经济的。</w:t>
      </w:r>
    </w:p>
    <w:p>
      <w:pPr>
        <w:spacing w:line="360" w:lineRule="auto"/>
        <w:ind w:firstLine="643" w:firstLineChars="200"/>
        <w:rPr>
          <w:rFonts w:hint="eastAsia" w:eastAsia="仿宋_GB2312"/>
          <w:sz w:val="32"/>
          <w:szCs w:val="32"/>
        </w:rPr>
      </w:pPr>
      <w:r>
        <w:rPr>
          <w:rFonts w:hint="eastAsia" w:eastAsia="仿宋_GB2312"/>
          <w:b/>
          <w:sz w:val="32"/>
          <w:szCs w:val="32"/>
        </w:rPr>
        <w:t>六、企业接受非控股股东（或非控股股东的子公司）直接或间接代为偿债、债务豁免或捐赠的，应如何进行会计处理？</w:t>
      </w:r>
    </w:p>
    <w:p>
      <w:pPr>
        <w:spacing w:line="360" w:lineRule="auto"/>
        <w:ind w:firstLine="643" w:firstLineChars="200"/>
        <w:rPr>
          <w:rFonts w:hint="eastAsia" w:eastAsia="仿宋_GB2312"/>
          <w:sz w:val="32"/>
          <w:szCs w:val="32"/>
        </w:rPr>
      </w:pPr>
      <w:r>
        <w:rPr>
          <w:rFonts w:hint="eastAsia" w:eastAsia="仿宋_GB2312"/>
          <w:b/>
          <w:sz w:val="32"/>
          <w:szCs w:val="32"/>
        </w:rPr>
        <w:t>答</w:t>
      </w:r>
      <w:r>
        <w:rPr>
          <w:rFonts w:hint="eastAsia" w:eastAsia="仿宋_GB2312"/>
          <w:sz w:val="32"/>
          <w:szCs w:val="32"/>
        </w:rPr>
        <w:t>：企业接受代为偿债、债务豁免或捐赠，按照企业会计准则规定符合确认条件的，通常应当确认为当期收益；但是，企业接受非控股股东（或非控股股东的子公司）直接或间接代为偿债、债务豁免或捐赠，经济实质表明属于非控股股东对企业的资本性投入，应当将相关利得计入所有者权益（资本公积）。</w:t>
      </w:r>
    </w:p>
    <w:p>
      <w:pPr>
        <w:spacing w:line="360" w:lineRule="auto"/>
        <w:ind w:firstLine="640" w:firstLineChars="200"/>
        <w:rPr>
          <w:rFonts w:hint="eastAsia" w:eastAsia="仿宋_GB2312"/>
          <w:sz w:val="32"/>
          <w:szCs w:val="32"/>
        </w:rPr>
      </w:pPr>
      <w:r>
        <w:rPr>
          <w:rFonts w:hint="eastAsia" w:eastAsia="仿宋_GB2312"/>
          <w:sz w:val="32"/>
          <w:szCs w:val="32"/>
        </w:rPr>
        <w:t>企业发生破产重整，其非控股股东因执行人民法院批准的破产重整计划，通过让渡所持有的该企业部分股份向企业债权人偿债的，企业应将非控股股东所让渡股份按照其在让渡之日的公允价值计入所有者权益（资本公积），减少所豁免债务的账面价值，并将让渡股份公允价值与被豁免的债务账面价值之间的差额计入当期损益。控股股东按照破产重整计划让渡了所持有的部分该企业股权向企业债权人偿债的，该企业也按此原则处理。</w:t>
      </w:r>
    </w:p>
    <w:p>
      <w:pPr>
        <w:spacing w:line="360" w:lineRule="auto"/>
        <w:ind w:firstLine="640" w:firstLineChars="200"/>
        <w:rPr>
          <w:rFonts w:hint="eastAsia"/>
          <w:sz w:val="32"/>
          <w:szCs w:val="32"/>
        </w:rPr>
      </w:pPr>
      <w:r>
        <w:rPr>
          <w:rFonts w:hint="eastAsia" w:eastAsia="仿宋_GB2312"/>
          <w:sz w:val="32"/>
          <w:szCs w:val="32"/>
        </w:rPr>
        <w:t xml:space="preserve"> </w:t>
      </w:r>
      <w:r>
        <w:rPr>
          <w:rFonts w:hint="eastAsia" w:eastAsia="仿宋_GB2312"/>
          <w:b/>
          <w:sz w:val="32"/>
          <w:szCs w:val="32"/>
        </w:rPr>
        <w:t>七、本解释自2013年1月1日施行，不要求追溯调整。</w:t>
      </w:r>
    </w:p>
    <w:p>
      <w:bookmarkStart w:id="0" w:name="_GoBack"/>
      <w:bookmarkEnd w:id="0"/>
    </w:p>
    <w:sectPr>
      <w:footerReference r:id="rId3" w:type="default"/>
      <w:footerReference r:id="rId4" w:type="even"/>
      <w:pgSz w:w="11906" w:h="16838"/>
      <w:pgMar w:top="1440" w:right="1646"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6</w:t>
    </w:r>
    <w:r>
      <w:rPr>
        <w:rStyle w:val="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C301AA"/>
    <w:rsid w:val="14D13791"/>
    <w:rsid w:val="3B2A017B"/>
    <w:rsid w:val="7D1D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22"/>
    <w:rPr>
      <w:b/>
    </w:rPr>
  </w:style>
  <w:style w:type="character" w:styleId="8">
    <w:name w:val="page number"/>
    <w:basedOn w:val="6"/>
    <w:uiPriority w:val="0"/>
  </w:style>
  <w:style w:type="character" w:customStyle="1" w:styleId="9">
    <w:name w:val="页眉 Char"/>
    <w:basedOn w:val="6"/>
    <w:link w:val="3"/>
    <w:uiPriority w:val="99"/>
    <w:rPr>
      <w:sz w:val="18"/>
      <w:szCs w:val="18"/>
    </w:rPr>
  </w:style>
  <w:style w:type="character" w:customStyle="1" w:styleId="10">
    <w:name w:val="页脚 Char"/>
    <w:basedOn w:val="6"/>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2022-03-17T06:05:00Z</dcterms:created>
  <dc:creator>苏云</dc:creator>
  <cp:lastModifiedBy>lenovo</cp:lastModifiedBy>
  <dcterms:modified xsi:type="dcterms:W3CDTF">2022-03-18T01:16:23Z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522B9775109845ED862DC1E1826519E6</vt:lpwstr>
  </property>
</Properties>
</file>