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BB2" w:rsidRDefault="00F72302" w:rsidP="00A208F7">
      <w:pPr>
        <w:spacing w:line="480" w:lineRule="exact"/>
        <w:jc w:val="center"/>
        <w:rPr>
          <w:rFonts w:ascii="方正小标宋_GBK" w:eastAsia="方正小标宋_GBK" w:hAnsi="宋体" w:cs="宋体" w:hint="eastAsia"/>
          <w:sz w:val="36"/>
          <w:szCs w:val="36"/>
        </w:rPr>
      </w:pPr>
      <w:r w:rsidRPr="007F6A69">
        <w:rPr>
          <w:rFonts w:ascii="方正小标宋_GBK" w:eastAsia="方正小标宋_GBK" w:hAnsi="宋体" w:cs="宋体" w:hint="eastAsia"/>
          <w:sz w:val="36"/>
          <w:szCs w:val="36"/>
        </w:rPr>
        <w:t>企业会计准则解释第</w:t>
      </w:r>
      <w:r w:rsidRPr="007F6A69">
        <w:rPr>
          <w:rFonts w:ascii="方正小标宋_GBK" w:eastAsia="方正小标宋_GBK" w:hAnsi="宋体" w:cs="宋体" w:hint="eastAsia"/>
          <w:sz w:val="36"/>
          <w:szCs w:val="36"/>
        </w:rPr>
        <w:t xml:space="preserve"> 13 </w:t>
      </w:r>
      <w:r w:rsidRPr="007F6A69">
        <w:rPr>
          <w:rFonts w:ascii="方正小标宋_GBK" w:eastAsia="方正小标宋_GBK" w:hAnsi="宋体" w:cs="宋体" w:hint="eastAsia"/>
          <w:sz w:val="36"/>
          <w:szCs w:val="36"/>
        </w:rPr>
        <w:t>号</w:t>
      </w:r>
    </w:p>
    <w:p w:rsidR="007F6A69" w:rsidRPr="007F6A69" w:rsidRDefault="007F6A69" w:rsidP="00A208F7">
      <w:pPr>
        <w:spacing w:line="480" w:lineRule="exact"/>
        <w:jc w:val="center"/>
        <w:rPr>
          <w:rFonts w:ascii="方正小标宋_GBK" w:eastAsia="方正小标宋_GBK" w:hAnsi="宋体" w:cs="宋体" w:hint="eastAsia"/>
          <w:sz w:val="36"/>
          <w:szCs w:val="36"/>
        </w:rPr>
      </w:pPr>
    </w:p>
    <w:p w:rsidR="007F6A69" w:rsidRPr="007F6A69" w:rsidRDefault="00F72302" w:rsidP="00A208F7">
      <w:pPr>
        <w:pStyle w:val="a5"/>
        <w:numPr>
          <w:ilvl w:val="0"/>
          <w:numId w:val="1"/>
        </w:numPr>
        <w:spacing w:line="480" w:lineRule="exact"/>
        <w:ind w:firstLineChars="0"/>
        <w:rPr>
          <w:rFonts w:ascii="宋体" w:eastAsia="宋体" w:hAnsi="宋体" w:cs="宋体" w:hint="eastAsia"/>
          <w:b/>
          <w:sz w:val="24"/>
          <w:szCs w:val="24"/>
        </w:rPr>
      </w:pPr>
      <w:r w:rsidRPr="007F6A69">
        <w:rPr>
          <w:rFonts w:ascii="宋体" w:eastAsia="宋体" w:hAnsi="宋体" w:cs="宋体"/>
          <w:b/>
          <w:sz w:val="24"/>
          <w:szCs w:val="24"/>
        </w:rPr>
        <w:t>关于企业与其所属企业集团其他成员企业等相关的</w:t>
      </w:r>
      <w:r w:rsidRPr="007F6A69">
        <w:rPr>
          <w:rFonts w:ascii="宋体" w:eastAsia="宋体" w:hAnsi="宋体" w:cs="宋体"/>
          <w:b/>
          <w:sz w:val="24"/>
          <w:szCs w:val="24"/>
        </w:rPr>
        <w:t>关联方判断</w:t>
      </w:r>
    </w:p>
    <w:p w:rsidR="00462DDE" w:rsidRDefault="00F72302" w:rsidP="00A208F7">
      <w:pPr>
        <w:spacing w:line="480" w:lineRule="exact"/>
        <w:ind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该问题主要涉及《企业会计准则第</w:t>
      </w:r>
      <w:r w:rsidR="00462DDE">
        <w:rPr>
          <w:rFonts w:ascii="宋体" w:eastAsia="宋体" w:hAnsi="宋体" w:cs="宋体"/>
          <w:sz w:val="24"/>
          <w:szCs w:val="24"/>
        </w:rPr>
        <w:t>36</w:t>
      </w:r>
      <w:r>
        <w:rPr>
          <w:rFonts w:ascii="宋体" w:eastAsia="宋体" w:hAnsi="宋体" w:cs="宋体"/>
          <w:sz w:val="24"/>
          <w:szCs w:val="24"/>
        </w:rPr>
        <w:t>号</w:t>
      </w:r>
      <w:r>
        <w:rPr>
          <w:rFonts w:ascii="宋体" w:eastAsia="宋体" w:hAnsi="宋体" w:cs="宋体"/>
          <w:sz w:val="24"/>
          <w:szCs w:val="24"/>
        </w:rPr>
        <w:t>——</w:t>
      </w:r>
      <w:r>
        <w:rPr>
          <w:rFonts w:ascii="宋体" w:eastAsia="宋体" w:hAnsi="宋体" w:cs="宋体"/>
          <w:sz w:val="24"/>
          <w:szCs w:val="24"/>
        </w:rPr>
        <w:t>关联方披</w:t>
      </w:r>
      <w:r>
        <w:rPr>
          <w:rFonts w:ascii="宋体" w:eastAsia="宋体" w:hAnsi="宋体" w:cs="宋体"/>
          <w:sz w:val="24"/>
          <w:szCs w:val="24"/>
        </w:rPr>
        <w:t>露》（财会〔</w:t>
      </w:r>
      <w:r>
        <w:rPr>
          <w:rFonts w:ascii="宋体" w:eastAsia="宋体" w:hAnsi="宋体" w:cs="宋体"/>
          <w:sz w:val="24"/>
          <w:szCs w:val="24"/>
        </w:rPr>
        <w:t>2006</w:t>
      </w:r>
      <w:r>
        <w:rPr>
          <w:rFonts w:ascii="宋体" w:eastAsia="宋体" w:hAnsi="宋体" w:cs="宋体"/>
          <w:sz w:val="24"/>
          <w:szCs w:val="24"/>
        </w:rPr>
        <w:t>〕</w:t>
      </w:r>
      <w:r>
        <w:rPr>
          <w:rFonts w:ascii="宋体" w:eastAsia="宋体" w:hAnsi="宋体" w:cs="宋体"/>
          <w:sz w:val="24"/>
          <w:szCs w:val="24"/>
        </w:rPr>
        <w:t xml:space="preserve">3 </w:t>
      </w:r>
      <w:r>
        <w:rPr>
          <w:rFonts w:ascii="宋体" w:eastAsia="宋体" w:hAnsi="宋体" w:cs="宋体"/>
          <w:sz w:val="24"/>
          <w:szCs w:val="24"/>
        </w:rPr>
        <w:t>号，以下简称第</w:t>
      </w:r>
      <w:r>
        <w:rPr>
          <w:rFonts w:ascii="宋体" w:eastAsia="宋体" w:hAnsi="宋体" w:cs="宋体"/>
          <w:sz w:val="24"/>
          <w:szCs w:val="24"/>
        </w:rPr>
        <w:t xml:space="preserve"> 36 </w:t>
      </w:r>
      <w:r>
        <w:rPr>
          <w:rFonts w:ascii="宋体" w:eastAsia="宋体" w:hAnsi="宋体" w:cs="宋体"/>
          <w:sz w:val="24"/>
          <w:szCs w:val="24"/>
        </w:rPr>
        <w:t>号准则）等准则。</w:t>
      </w:r>
      <w:r>
        <w:rPr>
          <w:rFonts w:ascii="宋体" w:eastAsia="宋体" w:hAnsi="宋体" w:cs="宋体"/>
          <w:sz w:val="24"/>
          <w:szCs w:val="24"/>
        </w:rPr>
        <w:t>除第</w:t>
      </w:r>
      <w:r>
        <w:rPr>
          <w:rFonts w:ascii="宋体" w:eastAsia="宋体" w:hAnsi="宋体" w:cs="宋体"/>
          <w:sz w:val="24"/>
          <w:szCs w:val="24"/>
        </w:rPr>
        <w:t xml:space="preserve"> 36 </w:t>
      </w:r>
      <w:r>
        <w:rPr>
          <w:rFonts w:ascii="宋体" w:eastAsia="宋体" w:hAnsi="宋体" w:cs="宋体"/>
          <w:sz w:val="24"/>
          <w:szCs w:val="24"/>
        </w:rPr>
        <w:t>号准则第四条规定外，下列各方构成关联方，应</w:t>
      </w:r>
      <w:r>
        <w:rPr>
          <w:rFonts w:ascii="宋体" w:eastAsia="宋体" w:hAnsi="宋体" w:cs="宋体"/>
          <w:sz w:val="24"/>
          <w:szCs w:val="24"/>
        </w:rPr>
        <w:t>当按照第</w:t>
      </w:r>
      <w:r>
        <w:rPr>
          <w:rFonts w:ascii="宋体" w:eastAsia="宋体" w:hAnsi="宋体" w:cs="宋体"/>
          <w:sz w:val="24"/>
          <w:szCs w:val="24"/>
        </w:rPr>
        <w:t xml:space="preserve"> 36 </w:t>
      </w:r>
      <w:r>
        <w:rPr>
          <w:rFonts w:ascii="宋体" w:eastAsia="宋体" w:hAnsi="宋体" w:cs="宋体"/>
          <w:sz w:val="24"/>
          <w:szCs w:val="24"/>
        </w:rPr>
        <w:t>号准则进行相关披露：</w:t>
      </w:r>
    </w:p>
    <w:p w:rsidR="00462DDE" w:rsidRDefault="00F72302" w:rsidP="00A208F7">
      <w:pPr>
        <w:spacing w:line="480" w:lineRule="exact"/>
        <w:ind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（一）企业与其所属企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业集团的其他成员单位（包括母公司和子公司）的合营企业</w:t>
      </w:r>
      <w:r>
        <w:rPr>
          <w:rFonts w:ascii="宋体" w:eastAsia="宋体" w:hAnsi="宋体" w:cs="宋体"/>
          <w:sz w:val="24"/>
          <w:szCs w:val="24"/>
        </w:rPr>
        <w:t>或联营企业；</w:t>
      </w:r>
    </w:p>
    <w:p w:rsidR="007F6A69" w:rsidRDefault="00F72302" w:rsidP="00A208F7">
      <w:pPr>
        <w:spacing w:line="480" w:lineRule="exact"/>
        <w:ind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（二）企业的合营企业与企业的其他合营企业</w:t>
      </w:r>
      <w:r>
        <w:rPr>
          <w:rFonts w:ascii="宋体" w:eastAsia="宋体" w:hAnsi="宋体" w:cs="宋体"/>
          <w:sz w:val="24"/>
          <w:szCs w:val="24"/>
        </w:rPr>
        <w:t>或联营企业。</w:t>
      </w:r>
      <w:r>
        <w:rPr>
          <w:rFonts w:ascii="宋体" w:eastAsia="宋体" w:hAnsi="宋体" w:cs="宋体"/>
          <w:sz w:val="24"/>
          <w:szCs w:val="24"/>
        </w:rPr>
        <w:t>除第</w:t>
      </w:r>
      <w:r>
        <w:rPr>
          <w:rFonts w:ascii="宋体" w:eastAsia="宋体" w:hAnsi="宋体" w:cs="宋体"/>
          <w:sz w:val="24"/>
          <w:szCs w:val="24"/>
        </w:rPr>
        <w:t xml:space="preserve"> 36 </w:t>
      </w:r>
      <w:r>
        <w:rPr>
          <w:rFonts w:ascii="宋体" w:eastAsia="宋体" w:hAnsi="宋体" w:cs="宋体"/>
          <w:sz w:val="24"/>
          <w:szCs w:val="24"/>
        </w:rPr>
        <w:t>号准则第五条和第六条规定外，两方或两方以上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同受一方重大影响的，不构成关联方。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第</w:t>
      </w:r>
      <w:r w:rsidR="00462DDE">
        <w:rPr>
          <w:rFonts w:ascii="宋体" w:eastAsia="宋体" w:hAnsi="宋体" w:cs="宋体"/>
          <w:sz w:val="24"/>
          <w:szCs w:val="24"/>
        </w:rPr>
        <w:t>36</w:t>
      </w:r>
      <w:r>
        <w:rPr>
          <w:rFonts w:ascii="宋体" w:eastAsia="宋体" w:hAnsi="宋体" w:cs="宋体"/>
          <w:sz w:val="24"/>
          <w:szCs w:val="24"/>
        </w:rPr>
        <w:t>号准则中所指的联营企业包括联营企业及其子公</w:t>
      </w:r>
      <w:r>
        <w:rPr>
          <w:rFonts w:ascii="宋体" w:eastAsia="宋体" w:hAnsi="宋体" w:cs="宋体"/>
          <w:sz w:val="24"/>
          <w:szCs w:val="24"/>
        </w:rPr>
        <w:t>司，合营企业包括合营企业及其子公司。</w:t>
      </w:r>
    </w:p>
    <w:p w:rsidR="007F6A69" w:rsidRPr="007F6A69" w:rsidRDefault="00F72302" w:rsidP="00A208F7">
      <w:pPr>
        <w:spacing w:line="480" w:lineRule="exact"/>
        <w:ind w:firstLineChars="200" w:firstLine="482"/>
        <w:rPr>
          <w:rFonts w:ascii="宋体" w:eastAsia="宋体" w:hAnsi="宋体" w:cs="宋体" w:hint="eastAsia"/>
          <w:b/>
          <w:sz w:val="24"/>
          <w:szCs w:val="24"/>
        </w:rPr>
      </w:pPr>
      <w:r w:rsidRPr="007F6A69">
        <w:rPr>
          <w:rFonts w:ascii="宋体" w:eastAsia="宋体" w:hAnsi="宋体" w:cs="宋体"/>
          <w:b/>
          <w:sz w:val="24"/>
          <w:szCs w:val="24"/>
        </w:rPr>
        <w:t>二、关于企业合并中取得的经营活动或资产的组合是否</w:t>
      </w:r>
      <w:r w:rsidRPr="007F6A69">
        <w:rPr>
          <w:rFonts w:ascii="宋体" w:eastAsia="宋体" w:hAnsi="宋体" w:cs="宋体"/>
          <w:b/>
          <w:sz w:val="24"/>
          <w:szCs w:val="24"/>
        </w:rPr>
        <w:t>构成业务的判断</w:t>
      </w:r>
      <w:r w:rsidRPr="007F6A69">
        <w:rPr>
          <w:rFonts w:ascii="宋体" w:eastAsia="宋体" w:hAnsi="宋体" w:cs="宋体"/>
          <w:b/>
          <w:sz w:val="24"/>
          <w:szCs w:val="24"/>
        </w:rPr>
        <w:t xml:space="preserve"> </w:t>
      </w:r>
    </w:p>
    <w:p w:rsidR="00462DDE" w:rsidRDefault="00F72302" w:rsidP="00A208F7">
      <w:pPr>
        <w:spacing w:line="480" w:lineRule="exact"/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>该问题主要涉及《企业会计准则第</w:t>
      </w:r>
      <w:r w:rsidR="00462DDE">
        <w:rPr>
          <w:rFonts w:ascii="宋体" w:eastAsia="宋体" w:hAnsi="宋体" w:cs="宋体"/>
          <w:sz w:val="24"/>
          <w:szCs w:val="24"/>
        </w:rPr>
        <w:t>20</w:t>
      </w:r>
      <w:r>
        <w:rPr>
          <w:rFonts w:ascii="宋体" w:eastAsia="宋体" w:hAnsi="宋体" w:cs="宋体"/>
          <w:sz w:val="24"/>
          <w:szCs w:val="24"/>
        </w:rPr>
        <w:t>号</w:t>
      </w:r>
      <w:r>
        <w:rPr>
          <w:rFonts w:ascii="宋体" w:eastAsia="宋体" w:hAnsi="宋体" w:cs="宋体"/>
          <w:sz w:val="24"/>
          <w:szCs w:val="24"/>
        </w:rPr>
        <w:t>——</w:t>
      </w:r>
      <w:r>
        <w:rPr>
          <w:rFonts w:ascii="宋体" w:eastAsia="宋体" w:hAnsi="宋体" w:cs="宋体"/>
          <w:sz w:val="24"/>
          <w:szCs w:val="24"/>
        </w:rPr>
        <w:t>企业合并》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（财会〔</w:t>
      </w:r>
      <w:r>
        <w:rPr>
          <w:rFonts w:ascii="宋体" w:eastAsia="宋体" w:hAnsi="宋体" w:cs="宋体"/>
          <w:sz w:val="24"/>
          <w:szCs w:val="24"/>
        </w:rPr>
        <w:t>2006</w:t>
      </w:r>
      <w:r>
        <w:rPr>
          <w:rFonts w:ascii="宋体" w:eastAsia="宋体" w:hAnsi="宋体" w:cs="宋体"/>
          <w:sz w:val="24"/>
          <w:szCs w:val="24"/>
        </w:rPr>
        <w:t>〕</w:t>
      </w:r>
      <w:r>
        <w:rPr>
          <w:rFonts w:ascii="宋体" w:eastAsia="宋体" w:hAnsi="宋体" w:cs="宋体"/>
          <w:sz w:val="24"/>
          <w:szCs w:val="24"/>
        </w:rPr>
        <w:t xml:space="preserve">3 </w:t>
      </w:r>
      <w:r>
        <w:rPr>
          <w:rFonts w:ascii="宋体" w:eastAsia="宋体" w:hAnsi="宋体" w:cs="宋体"/>
          <w:sz w:val="24"/>
          <w:szCs w:val="24"/>
        </w:rPr>
        <w:t>号，以下简称第</w:t>
      </w:r>
      <w:r>
        <w:rPr>
          <w:rFonts w:ascii="宋体" w:eastAsia="宋体" w:hAnsi="宋体" w:cs="宋体"/>
          <w:sz w:val="24"/>
          <w:szCs w:val="24"/>
        </w:rPr>
        <w:t xml:space="preserve"> 20 </w:t>
      </w:r>
      <w:r>
        <w:rPr>
          <w:rFonts w:ascii="宋体" w:eastAsia="宋体" w:hAnsi="宋体" w:cs="宋体"/>
          <w:sz w:val="24"/>
          <w:szCs w:val="24"/>
        </w:rPr>
        <w:t>号准则）、《〈企业会</w:t>
      </w:r>
      <w:r>
        <w:rPr>
          <w:rFonts w:ascii="宋体" w:eastAsia="宋体" w:hAnsi="宋体" w:cs="宋体"/>
          <w:sz w:val="24"/>
          <w:szCs w:val="24"/>
        </w:rPr>
        <w:t>计准则第</w:t>
      </w:r>
      <w:r>
        <w:rPr>
          <w:rFonts w:ascii="宋体" w:eastAsia="宋体" w:hAnsi="宋体" w:cs="宋体"/>
          <w:sz w:val="24"/>
          <w:szCs w:val="24"/>
        </w:rPr>
        <w:t xml:space="preserve"> 20 </w:t>
      </w:r>
      <w:r>
        <w:rPr>
          <w:rFonts w:ascii="宋体" w:eastAsia="宋体" w:hAnsi="宋体" w:cs="宋体"/>
          <w:sz w:val="24"/>
          <w:szCs w:val="24"/>
        </w:rPr>
        <w:t>号</w:t>
      </w:r>
      <w:r>
        <w:rPr>
          <w:rFonts w:ascii="宋体" w:eastAsia="宋体" w:hAnsi="宋体" w:cs="宋体"/>
          <w:sz w:val="24"/>
          <w:szCs w:val="24"/>
        </w:rPr>
        <w:t>——</w:t>
      </w:r>
      <w:r>
        <w:rPr>
          <w:rFonts w:ascii="宋体" w:eastAsia="宋体" w:hAnsi="宋体" w:cs="宋体"/>
          <w:sz w:val="24"/>
          <w:szCs w:val="24"/>
        </w:rPr>
        <w:t>企业合并〉应用指南》（财会〔</w:t>
      </w:r>
      <w:r>
        <w:rPr>
          <w:rFonts w:ascii="宋体" w:eastAsia="宋体" w:hAnsi="宋体" w:cs="宋体"/>
          <w:sz w:val="24"/>
          <w:szCs w:val="24"/>
        </w:rPr>
        <w:t>2006</w:t>
      </w:r>
      <w:r>
        <w:rPr>
          <w:rFonts w:ascii="宋体" w:eastAsia="宋体" w:hAnsi="宋体" w:cs="宋体"/>
          <w:sz w:val="24"/>
          <w:szCs w:val="24"/>
        </w:rPr>
        <w:t>〕</w:t>
      </w:r>
      <w:r>
        <w:rPr>
          <w:rFonts w:ascii="宋体" w:eastAsia="宋体" w:hAnsi="宋体" w:cs="宋体"/>
          <w:sz w:val="24"/>
          <w:szCs w:val="24"/>
        </w:rPr>
        <w:t xml:space="preserve">2 18 </w:t>
      </w:r>
      <w:r>
        <w:rPr>
          <w:rFonts w:ascii="宋体" w:eastAsia="宋体" w:hAnsi="宋体" w:cs="宋体"/>
          <w:sz w:val="24"/>
          <w:szCs w:val="24"/>
        </w:rPr>
        <w:t>号，以下简称第</w:t>
      </w:r>
      <w:r>
        <w:rPr>
          <w:rFonts w:ascii="宋体" w:eastAsia="宋体" w:hAnsi="宋体" w:cs="宋体"/>
          <w:sz w:val="24"/>
          <w:szCs w:val="24"/>
        </w:rPr>
        <w:t xml:space="preserve"> 20 </w:t>
      </w:r>
      <w:r>
        <w:rPr>
          <w:rFonts w:ascii="宋体" w:eastAsia="宋体" w:hAnsi="宋体" w:cs="宋体"/>
          <w:sz w:val="24"/>
          <w:szCs w:val="24"/>
        </w:rPr>
        <w:t>号指南）等规定。</w:t>
      </w:r>
      <w:r>
        <w:rPr>
          <w:rFonts w:ascii="宋体" w:eastAsia="宋体" w:hAnsi="宋体" w:cs="宋体"/>
          <w:sz w:val="24"/>
          <w:szCs w:val="24"/>
        </w:rPr>
        <w:t xml:space="preserve"> </w:t>
      </w:r>
    </w:p>
    <w:p w:rsidR="00462DDE" w:rsidRDefault="00F72302" w:rsidP="00F72302">
      <w:pPr>
        <w:spacing w:line="480" w:lineRule="exact"/>
        <w:ind w:firstLineChars="200" w:firstLine="482"/>
        <w:rPr>
          <w:rFonts w:ascii="宋体" w:eastAsia="宋体" w:hAnsi="宋体" w:cs="宋体" w:hint="eastAsia"/>
          <w:sz w:val="24"/>
          <w:szCs w:val="24"/>
        </w:rPr>
      </w:pPr>
      <w:r w:rsidRPr="00BA4DF7">
        <w:rPr>
          <w:rFonts w:ascii="宋体" w:eastAsia="宋体" w:hAnsi="宋体" w:cs="宋体"/>
          <w:b/>
          <w:sz w:val="24"/>
          <w:szCs w:val="24"/>
        </w:rPr>
        <w:t>（一）</w:t>
      </w:r>
      <w:r w:rsidRPr="00BA4DF7">
        <w:rPr>
          <w:rFonts w:ascii="宋体" w:eastAsia="宋体" w:hAnsi="宋体" w:cs="宋体"/>
          <w:b/>
          <w:sz w:val="24"/>
          <w:szCs w:val="24"/>
        </w:rPr>
        <w:t>构成业务的要素。</w:t>
      </w:r>
      <w:r>
        <w:rPr>
          <w:rFonts w:ascii="宋体" w:eastAsia="宋体" w:hAnsi="宋体" w:cs="宋体"/>
          <w:sz w:val="24"/>
          <w:szCs w:val="24"/>
        </w:rPr>
        <w:t>根据第</w:t>
      </w:r>
      <w:r w:rsidR="00462DDE">
        <w:rPr>
          <w:rFonts w:ascii="宋体" w:eastAsia="宋体" w:hAnsi="宋体" w:cs="宋体"/>
          <w:sz w:val="24"/>
          <w:szCs w:val="24"/>
        </w:rPr>
        <w:t xml:space="preserve"> 2</w:t>
      </w:r>
      <w:r w:rsidR="00462DDE">
        <w:rPr>
          <w:rFonts w:ascii="宋体" w:eastAsia="宋体" w:hAnsi="宋体" w:cs="宋体" w:hint="eastAsia"/>
          <w:sz w:val="24"/>
          <w:szCs w:val="24"/>
        </w:rPr>
        <w:t>0</w:t>
      </w:r>
      <w:r>
        <w:rPr>
          <w:rFonts w:ascii="宋体" w:eastAsia="宋体" w:hAnsi="宋体" w:cs="宋体"/>
          <w:sz w:val="24"/>
          <w:szCs w:val="24"/>
        </w:rPr>
        <w:t>号准则的规定，涉及构成业务的合并应当比照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第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 xml:space="preserve">20 </w:t>
      </w:r>
      <w:r>
        <w:rPr>
          <w:rFonts w:ascii="宋体" w:eastAsia="宋体" w:hAnsi="宋体" w:cs="宋体"/>
          <w:sz w:val="24"/>
          <w:szCs w:val="24"/>
        </w:rPr>
        <w:t>号准则规定处理。根据第</w:t>
      </w:r>
      <w:r>
        <w:rPr>
          <w:rFonts w:ascii="宋体" w:eastAsia="宋体" w:hAnsi="宋体" w:cs="宋体"/>
          <w:sz w:val="24"/>
          <w:szCs w:val="24"/>
        </w:rPr>
        <w:t xml:space="preserve"> 20 </w:t>
      </w:r>
      <w:r>
        <w:rPr>
          <w:rFonts w:ascii="宋体" w:eastAsia="宋体" w:hAnsi="宋体" w:cs="宋体"/>
          <w:sz w:val="24"/>
          <w:szCs w:val="24"/>
        </w:rPr>
        <w:t>号指南的规定，业务是指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企业内部某些生产经营活动或资产的组合，该组合一般具有</w:t>
      </w:r>
      <w:r>
        <w:rPr>
          <w:rFonts w:ascii="宋体" w:eastAsia="宋体" w:hAnsi="宋体" w:cs="宋体"/>
          <w:sz w:val="24"/>
          <w:szCs w:val="24"/>
        </w:rPr>
        <w:t>投入、加工处理过程和产出能力，能够独立计算其成本费用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或所产生的收入。合并方在合并中取得的生产经营活动或资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产的组合（以下简称组合）构成业务，通常应具有下列三个</w:t>
      </w:r>
      <w:r>
        <w:rPr>
          <w:rFonts w:ascii="宋体" w:eastAsia="宋体" w:hAnsi="宋体" w:cs="宋体"/>
          <w:sz w:val="24"/>
          <w:szCs w:val="24"/>
        </w:rPr>
        <w:t>要素：</w:t>
      </w:r>
      <w:r>
        <w:rPr>
          <w:rFonts w:ascii="宋体" w:eastAsia="宋体" w:hAnsi="宋体" w:cs="宋体"/>
          <w:sz w:val="24"/>
          <w:szCs w:val="24"/>
        </w:rPr>
        <w:t xml:space="preserve"> 1</w:t>
      </w:r>
      <w:r>
        <w:rPr>
          <w:rFonts w:ascii="宋体" w:eastAsia="宋体" w:hAnsi="宋体" w:cs="宋体"/>
          <w:sz w:val="24"/>
          <w:szCs w:val="24"/>
        </w:rPr>
        <w:t>．投入，指原材料、人工、必要的生产技术等无形资产</w:t>
      </w:r>
      <w:r>
        <w:rPr>
          <w:rFonts w:ascii="宋体" w:eastAsia="宋体" w:hAnsi="宋体" w:cs="宋体"/>
          <w:sz w:val="24"/>
          <w:szCs w:val="24"/>
        </w:rPr>
        <w:t>以及构成产出能力的机器设备等其他长期资产的投入。</w:t>
      </w:r>
      <w:r>
        <w:rPr>
          <w:rFonts w:ascii="宋体" w:eastAsia="宋体" w:hAnsi="宋体" w:cs="宋体"/>
          <w:sz w:val="24"/>
          <w:szCs w:val="24"/>
        </w:rPr>
        <w:t xml:space="preserve"> 2</w:t>
      </w:r>
      <w:r>
        <w:rPr>
          <w:rFonts w:ascii="宋体" w:eastAsia="宋体" w:hAnsi="宋体" w:cs="宋体"/>
          <w:sz w:val="24"/>
          <w:szCs w:val="24"/>
        </w:rPr>
        <w:t>．加工处理过程，指具有一定的管理能力、运营过程，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能够组织投入形成产出能力的系统、标准、协议、惯例或规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则。</w:t>
      </w:r>
      <w:r>
        <w:rPr>
          <w:rFonts w:ascii="宋体" w:eastAsia="宋体" w:hAnsi="宋体" w:cs="宋体"/>
          <w:sz w:val="24"/>
          <w:szCs w:val="24"/>
        </w:rPr>
        <w:t xml:space="preserve"> 3</w:t>
      </w:r>
      <w:r>
        <w:rPr>
          <w:rFonts w:ascii="宋体" w:eastAsia="宋体" w:hAnsi="宋体" w:cs="宋体"/>
          <w:sz w:val="24"/>
          <w:szCs w:val="24"/>
        </w:rPr>
        <w:t>．产出，包括</w:t>
      </w:r>
      <w:r>
        <w:rPr>
          <w:rFonts w:ascii="宋体" w:eastAsia="宋体" w:hAnsi="宋体" w:cs="宋体"/>
          <w:sz w:val="24"/>
          <w:szCs w:val="24"/>
        </w:rPr>
        <w:t>为客户提供的产品或服务、为投资者或债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权人提供的股利或利息等投资收益，以及企业日常活动产生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的其他的收益。</w:t>
      </w:r>
      <w:r>
        <w:rPr>
          <w:rFonts w:ascii="宋体" w:eastAsia="宋体" w:hAnsi="宋体" w:cs="宋体"/>
          <w:sz w:val="24"/>
          <w:szCs w:val="24"/>
        </w:rPr>
        <w:t xml:space="preserve"> </w:t>
      </w:r>
    </w:p>
    <w:p w:rsidR="00462DDE" w:rsidRDefault="00F72302" w:rsidP="00F72302">
      <w:pPr>
        <w:spacing w:line="480" w:lineRule="exact"/>
        <w:ind w:firstLineChars="200" w:firstLine="482"/>
        <w:rPr>
          <w:rFonts w:ascii="宋体" w:eastAsia="宋体" w:hAnsi="宋体" w:cs="宋体" w:hint="eastAsia"/>
          <w:sz w:val="24"/>
          <w:szCs w:val="24"/>
        </w:rPr>
      </w:pPr>
      <w:bookmarkStart w:id="0" w:name="_GoBack"/>
      <w:bookmarkEnd w:id="0"/>
      <w:r w:rsidRPr="00BA4DF7">
        <w:rPr>
          <w:rFonts w:ascii="宋体" w:eastAsia="宋体" w:hAnsi="宋体" w:cs="宋体"/>
          <w:b/>
          <w:sz w:val="24"/>
          <w:szCs w:val="24"/>
        </w:rPr>
        <w:t>（二）构成业务的判断条件。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合并方在合并中取得的组合应当至少同时具有一项投入</w:t>
      </w:r>
      <w:r>
        <w:rPr>
          <w:rFonts w:ascii="宋体" w:eastAsia="宋体" w:hAnsi="宋体" w:cs="宋体"/>
          <w:sz w:val="24"/>
          <w:szCs w:val="24"/>
        </w:rPr>
        <w:t>和一项实质性加工处理过程，且二者相结合对产出能力有显</w:t>
      </w:r>
      <w:r>
        <w:rPr>
          <w:rFonts w:ascii="宋体" w:eastAsia="宋体" w:hAnsi="宋体" w:cs="宋体"/>
          <w:sz w:val="24"/>
          <w:szCs w:val="24"/>
        </w:rPr>
        <w:t>著贡献，该组合才构成业务。合并方在合并中取得的组合是</w:t>
      </w:r>
      <w:r>
        <w:rPr>
          <w:rFonts w:ascii="宋体" w:eastAsia="宋体" w:hAnsi="宋体" w:cs="宋体"/>
          <w:sz w:val="24"/>
          <w:szCs w:val="24"/>
        </w:rPr>
        <w:t>否有实际产出并不是判断其构</w:t>
      </w:r>
      <w:r>
        <w:rPr>
          <w:rFonts w:ascii="宋体" w:eastAsia="宋体" w:hAnsi="宋体" w:cs="宋体"/>
          <w:sz w:val="24"/>
          <w:szCs w:val="24"/>
        </w:rPr>
        <w:lastRenderedPageBreak/>
        <w:t>成业务的必要条件。</w:t>
      </w:r>
      <w:r>
        <w:rPr>
          <w:rFonts w:ascii="宋体" w:eastAsia="宋体" w:hAnsi="宋体" w:cs="宋体"/>
          <w:sz w:val="24"/>
          <w:szCs w:val="24"/>
        </w:rPr>
        <w:t>企业应当考虑产出的下列情况分别判断加工处理过程是</w:t>
      </w:r>
      <w:r>
        <w:rPr>
          <w:rFonts w:ascii="宋体" w:eastAsia="宋体" w:hAnsi="宋体" w:cs="宋体"/>
          <w:sz w:val="24"/>
          <w:szCs w:val="24"/>
        </w:rPr>
        <w:t>否是实质性的：</w:t>
      </w:r>
      <w:r>
        <w:rPr>
          <w:rFonts w:ascii="宋体" w:eastAsia="宋体" w:hAnsi="宋体" w:cs="宋体"/>
          <w:sz w:val="24"/>
          <w:szCs w:val="24"/>
        </w:rPr>
        <w:t xml:space="preserve"> 1. </w:t>
      </w:r>
      <w:r>
        <w:rPr>
          <w:rFonts w:ascii="宋体" w:eastAsia="宋体" w:hAnsi="宋体" w:cs="宋体"/>
          <w:sz w:val="24"/>
          <w:szCs w:val="24"/>
        </w:rPr>
        <w:t>该组合在合并日无产出的，同时满足下列条件的加工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处理过程应判断为是实质性的：（</w:t>
      </w:r>
      <w:r>
        <w:rPr>
          <w:rFonts w:ascii="宋体" w:eastAsia="宋体" w:hAnsi="宋体" w:cs="宋体"/>
          <w:sz w:val="24"/>
          <w:szCs w:val="24"/>
        </w:rPr>
        <w:t>1</w:t>
      </w:r>
      <w:r>
        <w:rPr>
          <w:rFonts w:ascii="宋体" w:eastAsia="宋体" w:hAnsi="宋体" w:cs="宋体"/>
          <w:sz w:val="24"/>
          <w:szCs w:val="24"/>
        </w:rPr>
        <w:t>）该加工处理过程</w:t>
      </w:r>
      <w:r>
        <w:rPr>
          <w:rFonts w:ascii="宋体" w:eastAsia="宋体" w:hAnsi="宋体" w:cs="宋体"/>
          <w:sz w:val="24"/>
          <w:szCs w:val="24"/>
        </w:rPr>
        <w:t>对投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 w:rsidR="00462DDE">
        <w:rPr>
          <w:rFonts w:ascii="宋体" w:eastAsia="宋体" w:hAnsi="宋体" w:cs="宋体"/>
          <w:sz w:val="24"/>
          <w:szCs w:val="24"/>
        </w:rPr>
        <w:t>入转化为产出至关重要</w:t>
      </w:r>
      <w:r w:rsidR="00462DDE">
        <w:rPr>
          <w:rFonts w:ascii="宋体" w:eastAsia="宋体" w:hAnsi="宋体" w:cs="宋体" w:hint="eastAsia"/>
          <w:sz w:val="24"/>
          <w:szCs w:val="24"/>
        </w:rPr>
        <w:t>；</w:t>
      </w:r>
      <w:r>
        <w:rPr>
          <w:rFonts w:ascii="宋体" w:eastAsia="宋体" w:hAnsi="宋体" w:cs="宋体"/>
          <w:sz w:val="24"/>
          <w:szCs w:val="24"/>
        </w:rPr>
        <w:t>（</w:t>
      </w:r>
      <w:r>
        <w:rPr>
          <w:rFonts w:ascii="宋体" w:eastAsia="宋体" w:hAnsi="宋体" w:cs="宋体"/>
          <w:sz w:val="24"/>
          <w:szCs w:val="24"/>
        </w:rPr>
        <w:t>2</w:t>
      </w:r>
      <w:r>
        <w:rPr>
          <w:rFonts w:ascii="宋体" w:eastAsia="宋体" w:hAnsi="宋体" w:cs="宋体"/>
          <w:sz w:val="24"/>
          <w:szCs w:val="24"/>
        </w:rPr>
        <w:t>）具备执行该过程所需技能、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知识或经验的有组织的员工，且具备必要的材料、权利、其</w:t>
      </w:r>
      <w:r>
        <w:rPr>
          <w:rFonts w:ascii="宋体" w:eastAsia="宋体" w:hAnsi="宋体" w:cs="宋体"/>
          <w:sz w:val="24"/>
          <w:szCs w:val="24"/>
        </w:rPr>
        <w:t>他经济资源等投入，例如技术、研究和开发项目、房地产或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矿区权益等。</w:t>
      </w:r>
      <w:r w:rsidR="00462DDE">
        <w:rPr>
          <w:rFonts w:ascii="宋体" w:eastAsia="宋体" w:hAnsi="宋体" w:cs="宋体"/>
          <w:sz w:val="24"/>
          <w:szCs w:val="24"/>
        </w:rPr>
        <w:t xml:space="preserve"> 2.</w:t>
      </w:r>
      <w:r>
        <w:rPr>
          <w:rFonts w:ascii="宋体" w:eastAsia="宋体" w:hAnsi="宋体" w:cs="宋体"/>
          <w:sz w:val="24"/>
          <w:szCs w:val="24"/>
        </w:rPr>
        <w:t>该组合在合并日有产出的，满足下列条件之一的加工</w:t>
      </w:r>
      <w:r>
        <w:rPr>
          <w:rFonts w:ascii="宋体" w:eastAsia="宋体" w:hAnsi="宋体" w:cs="宋体"/>
          <w:sz w:val="24"/>
          <w:szCs w:val="24"/>
        </w:rPr>
        <w:t>处理过程应判断为是实质性的：（</w:t>
      </w:r>
      <w:r>
        <w:rPr>
          <w:rFonts w:ascii="宋体" w:eastAsia="宋体" w:hAnsi="宋体" w:cs="宋体"/>
          <w:sz w:val="24"/>
          <w:szCs w:val="24"/>
        </w:rPr>
        <w:t>1</w:t>
      </w:r>
      <w:r>
        <w:rPr>
          <w:rFonts w:ascii="宋体" w:eastAsia="宋体" w:hAnsi="宋体" w:cs="宋体"/>
          <w:sz w:val="24"/>
          <w:szCs w:val="24"/>
        </w:rPr>
        <w:t>）该加工处理过程对持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续产出至关重要，且具备执行该过程所需技能、知识或经验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的有组织的员工；（</w:t>
      </w:r>
      <w:r>
        <w:rPr>
          <w:rFonts w:ascii="宋体" w:eastAsia="宋体" w:hAnsi="宋体" w:cs="宋体"/>
          <w:sz w:val="24"/>
          <w:szCs w:val="24"/>
        </w:rPr>
        <w:t>2</w:t>
      </w:r>
      <w:r>
        <w:rPr>
          <w:rFonts w:ascii="宋体" w:eastAsia="宋体" w:hAnsi="宋体" w:cs="宋体"/>
          <w:sz w:val="24"/>
          <w:szCs w:val="24"/>
        </w:rPr>
        <w:t>）该加工处理过程对产出能力有显著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贡献，且该过程是独有、稀缺或难以取代的。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企业在判断组合是否构成业务时，应当从市场参与者角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度考虑可以将其作为业务</w:t>
      </w:r>
      <w:r>
        <w:rPr>
          <w:rFonts w:ascii="宋体" w:eastAsia="宋体" w:hAnsi="宋体" w:cs="宋体"/>
          <w:sz w:val="24"/>
          <w:szCs w:val="24"/>
        </w:rPr>
        <w:t>进行管理和经营，而不是根据合并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方的管理意图或被合并方的经营历史来判断。</w:t>
      </w:r>
      <w:r>
        <w:rPr>
          <w:rFonts w:ascii="宋体" w:eastAsia="宋体" w:hAnsi="宋体" w:cs="宋体"/>
          <w:sz w:val="24"/>
          <w:szCs w:val="24"/>
        </w:rPr>
        <w:t xml:space="preserve"> </w:t>
      </w:r>
    </w:p>
    <w:p w:rsidR="00192BB2" w:rsidRDefault="00F72302" w:rsidP="00A208F7">
      <w:pPr>
        <w:spacing w:line="480" w:lineRule="exact"/>
        <w:ind w:firstLineChars="100" w:firstLine="241"/>
      </w:pPr>
      <w:r w:rsidRPr="00BA4DF7">
        <w:rPr>
          <w:rFonts w:ascii="宋体" w:eastAsia="宋体" w:hAnsi="宋体" w:cs="宋体"/>
          <w:b/>
          <w:sz w:val="24"/>
          <w:szCs w:val="24"/>
        </w:rPr>
        <w:t>（三）判断非同一控制下企业合并中取得的组合是否构</w:t>
      </w:r>
      <w:r w:rsidRPr="00BA4DF7">
        <w:rPr>
          <w:rFonts w:ascii="宋体" w:eastAsia="宋体" w:hAnsi="宋体" w:cs="宋体"/>
          <w:b/>
          <w:sz w:val="24"/>
          <w:szCs w:val="24"/>
        </w:rPr>
        <w:t>成业务，也可选择采用集中度测试。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集中度测试是非同一控制下企业合并的购买方在判断取</w:t>
      </w:r>
      <w:r>
        <w:rPr>
          <w:rFonts w:ascii="宋体" w:eastAsia="宋体" w:hAnsi="宋体" w:cs="宋体"/>
          <w:sz w:val="24"/>
          <w:szCs w:val="24"/>
        </w:rPr>
        <w:t>得的组合是否构成一项业务时，可以选择采用的一种简化判</w:t>
      </w:r>
      <w:r>
        <w:rPr>
          <w:rFonts w:ascii="宋体" w:eastAsia="宋体" w:hAnsi="宋体" w:cs="宋体"/>
          <w:sz w:val="24"/>
          <w:szCs w:val="24"/>
        </w:rPr>
        <w:t>断方式。进行集中度测试时，如果购买方取得的总资产的公</w:t>
      </w:r>
      <w:r>
        <w:rPr>
          <w:rFonts w:ascii="宋体" w:eastAsia="宋体" w:hAnsi="宋体" w:cs="宋体"/>
          <w:sz w:val="24"/>
          <w:szCs w:val="24"/>
        </w:rPr>
        <w:t>允价值几乎相当于其中某一单独可辨认资产或一组类似可</w:t>
      </w:r>
      <w:r>
        <w:rPr>
          <w:rFonts w:ascii="宋体" w:eastAsia="宋体" w:hAnsi="宋体" w:cs="宋体"/>
          <w:sz w:val="24"/>
          <w:szCs w:val="24"/>
        </w:rPr>
        <w:t>辨认资产的公允价值的，则该组合通过集中度测试，应判断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为不构成业务，且购买方无须按照上述（二）的规定进行判</w:t>
      </w:r>
      <w:r>
        <w:rPr>
          <w:rFonts w:ascii="宋体" w:eastAsia="宋体" w:hAnsi="宋体" w:cs="宋体"/>
          <w:sz w:val="24"/>
          <w:szCs w:val="24"/>
        </w:rPr>
        <w:t>断；如果该组合未通过集中度测试，</w:t>
      </w:r>
      <w:r>
        <w:rPr>
          <w:rFonts w:ascii="宋体" w:eastAsia="宋体" w:hAnsi="宋体" w:cs="宋体"/>
          <w:sz w:val="24"/>
          <w:szCs w:val="24"/>
        </w:rPr>
        <w:t>购买方仍应按照上述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（二）的规定进行判断。</w:t>
      </w:r>
      <w:r>
        <w:rPr>
          <w:rFonts w:ascii="宋体" w:eastAsia="宋体" w:hAnsi="宋体" w:cs="宋体"/>
          <w:sz w:val="24"/>
          <w:szCs w:val="24"/>
        </w:rPr>
        <w:t>购买方应当按照下列规定进行集中度测试：</w:t>
      </w:r>
      <w:r w:rsidR="00462DDE">
        <w:rPr>
          <w:rFonts w:ascii="宋体" w:eastAsia="宋体" w:hAnsi="宋体" w:cs="宋体"/>
          <w:sz w:val="24"/>
          <w:szCs w:val="24"/>
        </w:rPr>
        <w:t>1.</w:t>
      </w:r>
      <w:r>
        <w:rPr>
          <w:rFonts w:ascii="宋体" w:eastAsia="宋体" w:hAnsi="宋体" w:cs="宋体"/>
          <w:sz w:val="24"/>
          <w:szCs w:val="24"/>
        </w:rPr>
        <w:t>计算确定取得的总资产的公允价值。取得的总资产不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包括现金及现金等价物、递延所得税资产以及由递延所得税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负债影响形成的商誉。购买方通常可以通过下列公式之一计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算确定取得的总资产的公允价值：</w:t>
      </w:r>
      <w:r>
        <w:rPr>
          <w:rFonts w:ascii="宋体" w:eastAsia="宋体" w:hAnsi="宋体" w:cs="宋体"/>
          <w:sz w:val="24"/>
          <w:szCs w:val="24"/>
        </w:rPr>
        <w:t>（</w:t>
      </w:r>
      <w:r>
        <w:rPr>
          <w:rFonts w:ascii="宋体" w:eastAsia="宋体" w:hAnsi="宋体" w:cs="宋体"/>
          <w:sz w:val="24"/>
          <w:szCs w:val="24"/>
        </w:rPr>
        <w:t>1</w:t>
      </w:r>
      <w:r>
        <w:rPr>
          <w:rFonts w:ascii="宋体" w:eastAsia="宋体" w:hAnsi="宋体" w:cs="宋体"/>
          <w:sz w:val="24"/>
          <w:szCs w:val="24"/>
        </w:rPr>
        <w:t>）总资产的公允价值</w:t>
      </w:r>
      <w:r>
        <w:rPr>
          <w:rFonts w:ascii="宋体" w:eastAsia="宋体" w:hAnsi="宋体" w:cs="宋体"/>
          <w:sz w:val="24"/>
          <w:szCs w:val="24"/>
        </w:rPr>
        <w:t>=</w:t>
      </w:r>
      <w:r>
        <w:rPr>
          <w:rFonts w:ascii="宋体" w:eastAsia="宋体" w:hAnsi="宋体" w:cs="宋体"/>
          <w:sz w:val="24"/>
          <w:szCs w:val="24"/>
        </w:rPr>
        <w:t>合并中取得的非现金资产的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公允价值</w:t>
      </w:r>
      <w:r>
        <w:rPr>
          <w:rFonts w:ascii="宋体" w:eastAsia="宋体" w:hAnsi="宋体" w:cs="宋体"/>
          <w:sz w:val="24"/>
          <w:szCs w:val="24"/>
        </w:rPr>
        <w:t>+</w:t>
      </w:r>
      <w:r>
        <w:rPr>
          <w:rFonts w:ascii="宋体" w:eastAsia="宋体" w:hAnsi="宋体" w:cs="宋体"/>
          <w:sz w:val="24"/>
          <w:szCs w:val="24"/>
        </w:rPr>
        <w:t>（购买方支付的对价</w:t>
      </w:r>
      <w:r>
        <w:rPr>
          <w:rFonts w:ascii="宋体" w:eastAsia="宋体" w:hAnsi="宋体" w:cs="宋体"/>
          <w:sz w:val="24"/>
          <w:szCs w:val="24"/>
        </w:rPr>
        <w:t>+</w:t>
      </w:r>
      <w:r>
        <w:rPr>
          <w:rFonts w:ascii="宋体" w:eastAsia="宋体" w:hAnsi="宋体" w:cs="宋体"/>
          <w:sz w:val="24"/>
          <w:szCs w:val="24"/>
        </w:rPr>
        <w:t>购买日被购买方少数股东权</w:t>
      </w:r>
      <w:r>
        <w:rPr>
          <w:rFonts w:ascii="宋体" w:eastAsia="宋体" w:hAnsi="宋体" w:cs="宋体"/>
          <w:sz w:val="24"/>
          <w:szCs w:val="24"/>
        </w:rPr>
        <w:t>益的公允价值</w:t>
      </w:r>
      <w:r>
        <w:rPr>
          <w:rFonts w:ascii="宋体" w:eastAsia="宋体" w:hAnsi="宋体" w:cs="宋体"/>
          <w:sz w:val="24"/>
          <w:szCs w:val="24"/>
        </w:rPr>
        <w:t>+</w:t>
      </w:r>
      <w:r>
        <w:rPr>
          <w:rFonts w:ascii="宋体" w:eastAsia="宋体" w:hAnsi="宋体" w:cs="宋体"/>
          <w:sz w:val="24"/>
          <w:szCs w:val="24"/>
        </w:rPr>
        <w:t>购买日前持有被购买方权益的公允价值</w:t>
      </w:r>
      <w:r>
        <w:rPr>
          <w:rFonts w:ascii="宋体" w:eastAsia="宋体" w:hAnsi="宋体" w:cs="宋体"/>
          <w:sz w:val="24"/>
          <w:szCs w:val="24"/>
        </w:rPr>
        <w:t>-</w:t>
      </w:r>
      <w:r>
        <w:rPr>
          <w:rFonts w:ascii="宋体" w:eastAsia="宋体" w:hAnsi="宋体" w:cs="宋体"/>
          <w:sz w:val="24"/>
          <w:szCs w:val="24"/>
        </w:rPr>
        <w:t>合并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中所取得的被购买方可辨认净资产公允价值）</w:t>
      </w:r>
      <w:r>
        <w:rPr>
          <w:rFonts w:ascii="宋体" w:eastAsia="宋体" w:hAnsi="宋体" w:cs="宋体"/>
          <w:sz w:val="24"/>
          <w:szCs w:val="24"/>
        </w:rPr>
        <w:t>-</w:t>
      </w:r>
      <w:r>
        <w:rPr>
          <w:rFonts w:ascii="宋体" w:eastAsia="宋体" w:hAnsi="宋体" w:cs="宋体"/>
          <w:sz w:val="24"/>
          <w:szCs w:val="24"/>
        </w:rPr>
        <w:t>递延所得税资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产</w:t>
      </w:r>
      <w:r>
        <w:rPr>
          <w:rFonts w:ascii="宋体" w:eastAsia="宋体" w:hAnsi="宋体" w:cs="宋体"/>
          <w:sz w:val="24"/>
          <w:szCs w:val="24"/>
        </w:rPr>
        <w:t>-</w:t>
      </w:r>
      <w:r>
        <w:rPr>
          <w:rFonts w:ascii="宋体" w:eastAsia="宋体" w:hAnsi="宋体" w:cs="宋体"/>
          <w:sz w:val="24"/>
          <w:szCs w:val="24"/>
        </w:rPr>
        <w:t>由递延所得税</w:t>
      </w:r>
      <w:r>
        <w:rPr>
          <w:rFonts w:ascii="宋体" w:eastAsia="宋体" w:hAnsi="宋体" w:cs="宋体"/>
          <w:sz w:val="24"/>
          <w:szCs w:val="24"/>
        </w:rPr>
        <w:t>负债影响形成的商誉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（</w:t>
      </w:r>
      <w:r>
        <w:rPr>
          <w:rFonts w:ascii="宋体" w:eastAsia="宋体" w:hAnsi="宋体" w:cs="宋体"/>
          <w:sz w:val="24"/>
          <w:szCs w:val="24"/>
        </w:rPr>
        <w:t>2</w:t>
      </w:r>
      <w:r>
        <w:rPr>
          <w:rFonts w:ascii="宋体" w:eastAsia="宋体" w:hAnsi="宋体" w:cs="宋体"/>
          <w:sz w:val="24"/>
          <w:szCs w:val="24"/>
        </w:rPr>
        <w:t>）总资产的公允价值</w:t>
      </w:r>
      <w:r>
        <w:rPr>
          <w:rFonts w:ascii="宋体" w:eastAsia="宋体" w:hAnsi="宋体" w:cs="宋体"/>
          <w:sz w:val="24"/>
          <w:szCs w:val="24"/>
        </w:rPr>
        <w:t>=</w:t>
      </w:r>
      <w:r>
        <w:rPr>
          <w:rFonts w:ascii="宋体" w:eastAsia="宋体" w:hAnsi="宋体" w:cs="宋体"/>
          <w:sz w:val="24"/>
          <w:szCs w:val="24"/>
        </w:rPr>
        <w:t>购买方支付的对价</w:t>
      </w:r>
      <w:r>
        <w:rPr>
          <w:rFonts w:ascii="宋体" w:eastAsia="宋体" w:hAnsi="宋体" w:cs="宋体"/>
          <w:sz w:val="24"/>
          <w:szCs w:val="24"/>
        </w:rPr>
        <w:t>+</w:t>
      </w:r>
      <w:r>
        <w:rPr>
          <w:rFonts w:ascii="宋体" w:eastAsia="宋体" w:hAnsi="宋体" w:cs="宋体"/>
          <w:sz w:val="24"/>
          <w:szCs w:val="24"/>
        </w:rPr>
        <w:t>购买日被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购买方少数股东权益的公允价值</w:t>
      </w:r>
      <w:r>
        <w:rPr>
          <w:rFonts w:ascii="宋体" w:eastAsia="宋体" w:hAnsi="宋体" w:cs="宋体"/>
          <w:sz w:val="24"/>
          <w:szCs w:val="24"/>
        </w:rPr>
        <w:t>+</w:t>
      </w:r>
      <w:r>
        <w:rPr>
          <w:rFonts w:ascii="宋体" w:eastAsia="宋体" w:hAnsi="宋体" w:cs="宋体"/>
          <w:sz w:val="24"/>
          <w:szCs w:val="24"/>
        </w:rPr>
        <w:t>购买日前持有被购买方权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益的公允价值</w:t>
      </w:r>
      <w:r>
        <w:rPr>
          <w:rFonts w:ascii="宋体" w:eastAsia="宋体" w:hAnsi="宋体" w:cs="宋体"/>
          <w:sz w:val="24"/>
          <w:szCs w:val="24"/>
        </w:rPr>
        <w:t>+</w:t>
      </w:r>
      <w:r>
        <w:rPr>
          <w:rFonts w:ascii="宋体" w:eastAsia="宋体" w:hAnsi="宋体" w:cs="宋体"/>
          <w:sz w:val="24"/>
          <w:szCs w:val="24"/>
        </w:rPr>
        <w:t>取得负债的公允价值（不包括递延所得税负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债）</w:t>
      </w:r>
      <w:r>
        <w:rPr>
          <w:rFonts w:ascii="宋体" w:eastAsia="宋体" w:hAnsi="宋体" w:cs="宋体"/>
          <w:sz w:val="24"/>
          <w:szCs w:val="24"/>
        </w:rPr>
        <w:t>-</w:t>
      </w:r>
      <w:r>
        <w:rPr>
          <w:rFonts w:ascii="宋体" w:eastAsia="宋体" w:hAnsi="宋体" w:cs="宋体"/>
          <w:sz w:val="24"/>
          <w:szCs w:val="24"/>
        </w:rPr>
        <w:t>取得的现金及现金等价物</w:t>
      </w:r>
      <w:r>
        <w:rPr>
          <w:rFonts w:ascii="宋体" w:eastAsia="宋体" w:hAnsi="宋体" w:cs="宋体"/>
          <w:sz w:val="24"/>
          <w:szCs w:val="24"/>
        </w:rPr>
        <w:t>-</w:t>
      </w:r>
      <w:r>
        <w:rPr>
          <w:rFonts w:ascii="宋体" w:eastAsia="宋体" w:hAnsi="宋体" w:cs="宋体"/>
          <w:sz w:val="24"/>
          <w:szCs w:val="24"/>
        </w:rPr>
        <w:t>递延所得税资产</w:t>
      </w:r>
      <w:r>
        <w:rPr>
          <w:rFonts w:ascii="宋体" w:eastAsia="宋体" w:hAnsi="宋体" w:cs="宋体"/>
          <w:sz w:val="24"/>
          <w:szCs w:val="24"/>
        </w:rPr>
        <w:t>-</w:t>
      </w:r>
      <w:r>
        <w:rPr>
          <w:rFonts w:ascii="宋体" w:eastAsia="宋体" w:hAnsi="宋体" w:cs="宋体"/>
          <w:sz w:val="24"/>
          <w:szCs w:val="24"/>
        </w:rPr>
        <w:t>由递延所得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税负债影响形成的商誉</w:t>
      </w:r>
      <w:r>
        <w:rPr>
          <w:rFonts w:ascii="宋体" w:eastAsia="宋体" w:hAnsi="宋体" w:cs="宋体"/>
          <w:sz w:val="24"/>
          <w:szCs w:val="24"/>
        </w:rPr>
        <w:t xml:space="preserve"> 2. </w:t>
      </w:r>
      <w:r>
        <w:rPr>
          <w:rFonts w:ascii="宋体" w:eastAsia="宋体" w:hAnsi="宋体" w:cs="宋体"/>
          <w:sz w:val="24"/>
          <w:szCs w:val="24"/>
        </w:rPr>
        <w:t>关于单独可辨认资产。单独可辨认资产是企业合并中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作为一项单独可辨认资产予以确认和计量的一项</w:t>
      </w:r>
      <w:r>
        <w:rPr>
          <w:rFonts w:ascii="宋体" w:eastAsia="宋体" w:hAnsi="宋体" w:cs="宋体"/>
          <w:sz w:val="24"/>
          <w:szCs w:val="24"/>
        </w:rPr>
        <w:lastRenderedPageBreak/>
        <w:t>资产或资</w:t>
      </w:r>
      <w:r>
        <w:rPr>
          <w:rFonts w:ascii="宋体" w:eastAsia="宋体" w:hAnsi="宋体" w:cs="宋体"/>
          <w:sz w:val="24"/>
          <w:szCs w:val="24"/>
        </w:rPr>
        <w:t>产组。如果资产（包括租赁资产）及其附着物分拆成本重大，</w:t>
      </w:r>
      <w:r>
        <w:rPr>
          <w:rFonts w:ascii="宋体" w:eastAsia="宋体" w:hAnsi="宋体" w:cs="宋体"/>
          <w:sz w:val="24"/>
          <w:szCs w:val="24"/>
        </w:rPr>
        <w:t>应当将其一并作为一项单独可辨认资产，例如土地和建筑</w:t>
      </w:r>
      <w:r>
        <w:rPr>
          <w:rFonts w:ascii="宋体" w:eastAsia="宋体" w:hAnsi="宋体" w:cs="宋体"/>
          <w:sz w:val="24"/>
          <w:szCs w:val="24"/>
        </w:rPr>
        <w:t>物。</w:t>
      </w:r>
      <w:r>
        <w:rPr>
          <w:rFonts w:ascii="宋体" w:eastAsia="宋体" w:hAnsi="宋体" w:cs="宋体"/>
          <w:sz w:val="24"/>
          <w:szCs w:val="24"/>
        </w:rPr>
        <w:t xml:space="preserve"> 3. </w:t>
      </w:r>
      <w:r>
        <w:rPr>
          <w:rFonts w:ascii="宋体" w:eastAsia="宋体" w:hAnsi="宋体" w:cs="宋体"/>
          <w:sz w:val="24"/>
          <w:szCs w:val="24"/>
        </w:rPr>
        <w:t>关于一组类似资产。企业</w:t>
      </w:r>
      <w:r>
        <w:rPr>
          <w:rFonts w:ascii="宋体" w:eastAsia="宋体" w:hAnsi="宋体" w:cs="宋体"/>
          <w:sz w:val="24"/>
          <w:szCs w:val="24"/>
        </w:rPr>
        <w:t>在评估一组类似资产时，应</w:t>
      </w:r>
      <w:r>
        <w:rPr>
          <w:rFonts w:ascii="宋体" w:eastAsia="宋体" w:hAnsi="宋体" w:cs="宋体"/>
          <w:sz w:val="24"/>
          <w:szCs w:val="24"/>
        </w:rPr>
        <w:t>当考虑其中每项单独可辨认资产的性质及其与管理产出相</w:t>
      </w:r>
      <w:r>
        <w:rPr>
          <w:rFonts w:ascii="宋体" w:eastAsia="宋体" w:hAnsi="宋体" w:cs="宋体"/>
          <w:sz w:val="24"/>
          <w:szCs w:val="24"/>
        </w:rPr>
        <w:t>关的风险等。下列情形通常不能作为一组类似资产：（</w:t>
      </w:r>
      <w:r>
        <w:rPr>
          <w:rFonts w:ascii="宋体" w:eastAsia="宋体" w:hAnsi="宋体" w:cs="宋体"/>
          <w:sz w:val="24"/>
          <w:szCs w:val="24"/>
        </w:rPr>
        <w:t>1</w:t>
      </w:r>
      <w:r>
        <w:rPr>
          <w:rFonts w:ascii="宋体" w:eastAsia="宋体" w:hAnsi="宋体" w:cs="宋体"/>
          <w:sz w:val="24"/>
          <w:szCs w:val="24"/>
        </w:rPr>
        <w:t>）</w:t>
      </w:r>
      <w:r w:rsidR="00462DDE">
        <w:rPr>
          <w:rFonts w:ascii="宋体" w:eastAsia="宋体" w:hAnsi="宋体" w:cs="宋体"/>
          <w:sz w:val="24"/>
          <w:szCs w:val="24"/>
        </w:rPr>
        <w:t>有形资产和无形资产</w:t>
      </w:r>
      <w:r w:rsidR="00462DDE">
        <w:rPr>
          <w:rFonts w:ascii="宋体" w:eastAsia="宋体" w:hAnsi="宋体" w:cs="宋体" w:hint="eastAsia"/>
          <w:sz w:val="24"/>
          <w:szCs w:val="24"/>
        </w:rPr>
        <w:t>；</w:t>
      </w:r>
      <w:r>
        <w:rPr>
          <w:rFonts w:ascii="宋体" w:eastAsia="宋体" w:hAnsi="宋体" w:cs="宋体"/>
          <w:sz w:val="24"/>
          <w:szCs w:val="24"/>
        </w:rPr>
        <w:t>（</w:t>
      </w:r>
      <w:r>
        <w:rPr>
          <w:rFonts w:ascii="宋体" w:eastAsia="宋体" w:hAnsi="宋体" w:cs="宋体"/>
          <w:sz w:val="24"/>
          <w:szCs w:val="24"/>
        </w:rPr>
        <w:t>2</w:t>
      </w:r>
      <w:r>
        <w:rPr>
          <w:rFonts w:ascii="宋体" w:eastAsia="宋体" w:hAnsi="宋体" w:cs="宋体"/>
          <w:sz w:val="24"/>
          <w:szCs w:val="24"/>
        </w:rPr>
        <w:t>）不同类别的有形资产，例如存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货和机器设备；（</w:t>
      </w:r>
      <w:r>
        <w:rPr>
          <w:rFonts w:ascii="宋体" w:eastAsia="宋体" w:hAnsi="宋体" w:cs="宋体"/>
          <w:sz w:val="24"/>
          <w:szCs w:val="24"/>
        </w:rPr>
        <w:t>3</w:t>
      </w:r>
      <w:r>
        <w:rPr>
          <w:rFonts w:ascii="宋体" w:eastAsia="宋体" w:hAnsi="宋体" w:cs="宋体"/>
          <w:sz w:val="24"/>
          <w:szCs w:val="24"/>
        </w:rPr>
        <w:t>）不同类别的可辨认无形资产，例如商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标权和特许权；（</w:t>
      </w:r>
      <w:r>
        <w:rPr>
          <w:rFonts w:ascii="宋体" w:eastAsia="宋体" w:hAnsi="宋体" w:cs="宋体"/>
          <w:sz w:val="24"/>
          <w:szCs w:val="24"/>
        </w:rPr>
        <w:t>4</w:t>
      </w:r>
      <w:r>
        <w:rPr>
          <w:rFonts w:ascii="宋体" w:eastAsia="宋体" w:hAnsi="宋体" w:cs="宋体"/>
          <w:sz w:val="24"/>
          <w:szCs w:val="24"/>
        </w:rPr>
        <w:t>）金融资产和非金融资产；（</w:t>
      </w:r>
      <w:r>
        <w:rPr>
          <w:rFonts w:ascii="宋体" w:eastAsia="宋体" w:hAnsi="宋体" w:cs="宋体"/>
          <w:sz w:val="24"/>
          <w:szCs w:val="24"/>
        </w:rPr>
        <w:t>5</w:t>
      </w:r>
      <w:r>
        <w:rPr>
          <w:rFonts w:ascii="宋体" w:eastAsia="宋体" w:hAnsi="宋体" w:cs="宋体"/>
          <w:sz w:val="24"/>
          <w:szCs w:val="24"/>
        </w:rPr>
        <w:t>）不同类</w:t>
      </w:r>
      <w:r>
        <w:rPr>
          <w:rFonts w:ascii="宋体" w:eastAsia="宋体" w:hAnsi="宋体" w:cs="宋体"/>
          <w:sz w:val="24"/>
          <w:szCs w:val="24"/>
        </w:rPr>
        <w:t>别的金融资产，例如应收款项和权益工具投资；（</w:t>
      </w:r>
      <w:r>
        <w:rPr>
          <w:rFonts w:ascii="宋体" w:eastAsia="宋体" w:hAnsi="宋体" w:cs="宋体"/>
          <w:sz w:val="24"/>
          <w:szCs w:val="24"/>
        </w:rPr>
        <w:t>6</w:t>
      </w:r>
      <w:r>
        <w:rPr>
          <w:rFonts w:ascii="宋体" w:eastAsia="宋体" w:hAnsi="宋体" w:cs="宋体"/>
          <w:sz w:val="24"/>
          <w:szCs w:val="24"/>
        </w:rPr>
        <w:t>）同一</w:t>
      </w:r>
      <w:r>
        <w:rPr>
          <w:rFonts w:ascii="宋体" w:eastAsia="宋体" w:hAnsi="宋体" w:cs="宋体"/>
          <w:sz w:val="24"/>
          <w:szCs w:val="24"/>
        </w:rPr>
        <w:t>类别但风险特征存在重大差别的可辨认资产等。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三、生效日期和新旧衔接</w:t>
      </w:r>
      <w:r>
        <w:rPr>
          <w:rFonts w:ascii="宋体" w:eastAsia="宋体" w:hAnsi="宋体" w:cs="宋体"/>
          <w:sz w:val="24"/>
          <w:szCs w:val="24"/>
        </w:rPr>
        <w:t xml:space="preserve"> </w:t>
      </w:r>
      <w:r>
        <w:rPr>
          <w:rFonts w:ascii="宋体" w:eastAsia="宋体" w:hAnsi="宋体" w:cs="宋体"/>
          <w:sz w:val="24"/>
          <w:szCs w:val="24"/>
        </w:rPr>
        <w:t>本解释自</w:t>
      </w:r>
      <w:r w:rsidR="00462DDE">
        <w:rPr>
          <w:rFonts w:ascii="宋体" w:eastAsia="宋体" w:hAnsi="宋体" w:cs="宋体"/>
          <w:sz w:val="24"/>
          <w:szCs w:val="24"/>
        </w:rPr>
        <w:t>2020</w:t>
      </w:r>
      <w:r>
        <w:rPr>
          <w:rFonts w:ascii="宋体" w:eastAsia="宋体" w:hAnsi="宋体" w:cs="宋体"/>
          <w:sz w:val="24"/>
          <w:szCs w:val="24"/>
        </w:rPr>
        <w:t>年</w:t>
      </w:r>
      <w:r w:rsidR="00462DDE">
        <w:rPr>
          <w:rFonts w:ascii="宋体" w:eastAsia="宋体" w:hAnsi="宋体" w:cs="宋体"/>
          <w:sz w:val="24"/>
          <w:szCs w:val="24"/>
        </w:rPr>
        <w:t>1</w:t>
      </w:r>
      <w:r>
        <w:rPr>
          <w:rFonts w:ascii="宋体" w:eastAsia="宋体" w:hAnsi="宋体" w:cs="宋体"/>
          <w:sz w:val="24"/>
          <w:szCs w:val="24"/>
        </w:rPr>
        <w:t>月</w:t>
      </w:r>
      <w:r w:rsidR="00462DDE">
        <w:rPr>
          <w:rFonts w:ascii="宋体" w:eastAsia="宋体" w:hAnsi="宋体" w:cs="宋体"/>
          <w:sz w:val="24"/>
          <w:szCs w:val="24"/>
        </w:rPr>
        <w:t>1</w:t>
      </w:r>
      <w:r>
        <w:rPr>
          <w:rFonts w:ascii="宋体" w:eastAsia="宋体" w:hAnsi="宋体" w:cs="宋体"/>
          <w:sz w:val="24"/>
          <w:szCs w:val="24"/>
        </w:rPr>
        <w:t>日起施行，不要求追溯调整。</w:t>
      </w:r>
    </w:p>
    <w:sectPr w:rsidR="00192B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8D121E"/>
    <w:multiLevelType w:val="hybridMultilevel"/>
    <w:tmpl w:val="8670FAD6"/>
    <w:lvl w:ilvl="0" w:tplc="2F808FC8">
      <w:start w:val="1"/>
      <w:numFmt w:val="japaneseCounting"/>
      <w:lvlText w:val="%1、"/>
      <w:lvlJc w:val="left"/>
      <w:pPr>
        <w:ind w:left="120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1AA"/>
    <w:rsid w:val="00192BB2"/>
    <w:rsid w:val="002E64C2"/>
    <w:rsid w:val="00462DDE"/>
    <w:rsid w:val="00513C60"/>
    <w:rsid w:val="00561186"/>
    <w:rsid w:val="007F6A69"/>
    <w:rsid w:val="00A208F7"/>
    <w:rsid w:val="00BA4DF7"/>
    <w:rsid w:val="00C301AA"/>
    <w:rsid w:val="00F72302"/>
    <w:rsid w:val="07A96787"/>
    <w:rsid w:val="1748320E"/>
    <w:rsid w:val="63FA6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5">
    <w:name w:val="List Paragraph"/>
    <w:basedOn w:val="a"/>
    <w:uiPriority w:val="99"/>
    <w:unhideWhenUsed/>
    <w:rsid w:val="007F6A6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5">
    <w:name w:val="List Paragraph"/>
    <w:basedOn w:val="a"/>
    <w:uiPriority w:val="99"/>
    <w:unhideWhenUsed/>
    <w:rsid w:val="007F6A6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3</Pages>
  <Words>332</Words>
  <Characters>1897</Characters>
  <Application>Microsoft Office Word</Application>
  <DocSecurity>0</DocSecurity>
  <Lines>15</Lines>
  <Paragraphs>4</Paragraphs>
  <ScaleCrop>false</ScaleCrop>
  <Company/>
  <LinksUpToDate>false</LinksUpToDate>
  <CharactersWithSpaces>2225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苏云</dc:creator>
  <cp:lastModifiedBy>苏云</cp:lastModifiedBy>
  <cp:revision>8</cp:revision>
  <dcterms:created xsi:type="dcterms:W3CDTF">2022-03-17T06:05:00Z</dcterms:created>
  <dcterms:modified xsi:type="dcterms:W3CDTF">2022-03-22T05:47:00Z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ECAA86E9CD0A437DBDF7D6D68958296E</vt:lpwstr>
  </property>
</Properties>
</file>