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54FE" w:rsidRPr="000161FB" w:rsidRDefault="000161FB">
      <w:pPr>
        <w:pStyle w:val="2"/>
        <w:widowControl/>
        <w:shd w:val="clear" w:color="auto" w:fill="FFFFFF"/>
        <w:spacing w:beforeAutospacing="0" w:afterAutospacing="0" w:line="675" w:lineRule="atLeast"/>
        <w:jc w:val="center"/>
        <w:rPr>
          <w:rFonts w:ascii="方正小标宋_GBK" w:eastAsia="方正小标宋_GBK" w:hAnsi="微软雅黑" w:cs="微软雅黑"/>
          <w:color w:val="333333"/>
          <w:shd w:val="clear" w:color="auto" w:fill="FFFFFF"/>
        </w:rPr>
      </w:pPr>
      <w:r w:rsidRPr="000161FB">
        <w:rPr>
          <w:rFonts w:ascii="方正小标宋_GBK" w:eastAsia="方正小标宋_GBK" w:hAnsi="微软雅黑" w:cs="微软雅黑"/>
          <w:color w:val="333333"/>
          <w:shd w:val="clear" w:color="auto" w:fill="FFFFFF"/>
        </w:rPr>
        <w:t>企业会计准则第</w:t>
      </w:r>
      <w:r w:rsidRPr="000161FB">
        <w:rPr>
          <w:rFonts w:ascii="方正小标宋_GBK" w:eastAsia="方正小标宋_GBK" w:hAnsi="微软雅黑" w:cs="微软雅黑"/>
          <w:color w:val="333333"/>
          <w:shd w:val="clear" w:color="auto" w:fill="FFFFFF"/>
        </w:rPr>
        <w:t>7</w:t>
      </w:r>
      <w:r w:rsidRPr="000161FB">
        <w:rPr>
          <w:rFonts w:ascii="方正小标宋_GBK" w:eastAsia="方正小标宋_GBK" w:hAnsi="微软雅黑" w:cs="微软雅黑"/>
          <w:color w:val="333333"/>
          <w:shd w:val="clear" w:color="auto" w:fill="FFFFFF"/>
        </w:rPr>
        <w:t>号——非货币性资产交换</w:t>
      </w:r>
    </w:p>
    <w:p w:rsidR="000161FB" w:rsidRPr="000161FB" w:rsidRDefault="000161FB" w:rsidP="000161FB">
      <w:bookmarkStart w:id="0" w:name="_GoBack"/>
      <w:bookmarkEnd w:id="0"/>
    </w:p>
    <w:p w:rsidR="006154FE" w:rsidRDefault="000161FB">
      <w:pPr>
        <w:pStyle w:val="a5"/>
        <w:widowControl/>
        <w:spacing w:beforeAutospacing="0" w:after="150" w:afterAutospacing="0" w:line="27"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第一章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总则</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第一条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为了规范非货币性资产交换的确认、计量和相关信息的披露，根据《企业会计准则——基本准则》，制定本准则。</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非货币性资产交换，是指企业主要以固定资产、无形资产、投资性房地产和长期股权投资等非货币性资产进行的交换。该交换不涉及或只涉及少量的货币性资产（即补价）。</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货币性资产，是指企业持有的货币资金和收取固定或可确定金额的货币资金的权利。</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非货币性资产，是指货币性资产以外的资产。</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第三条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本准则适用于所有非货币性资产交换，但下列各项适用其他相关会计准则：</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（一）企业以存货换取客户的非货币性资产的，适用《企业会计准则第</w:t>
      </w:r>
      <w:r>
        <w:rPr>
          <w:rFonts w:ascii="宋体" w:eastAsia="宋体" w:hAnsi="宋体" w:cs="宋体" w:hint="eastAsia"/>
          <w:color w:val="333333"/>
          <w:szCs w:val="24"/>
          <w:shd w:val="clear" w:color="auto" w:fill="FFFFFF"/>
        </w:rPr>
        <w:t>14</w:t>
      </w:r>
      <w:r>
        <w:rPr>
          <w:rFonts w:ascii="宋体" w:eastAsia="宋体" w:hAnsi="宋体" w:cs="宋体" w:hint="eastAsia"/>
          <w:color w:val="333333"/>
          <w:szCs w:val="24"/>
          <w:shd w:val="clear" w:color="auto" w:fill="FFFFFF"/>
        </w:rPr>
        <w:t>号——收入》。</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（二）非货币性资产交换中涉及企业合并的，适用《企业会计准则第</w:t>
      </w:r>
      <w:r>
        <w:rPr>
          <w:rFonts w:ascii="宋体" w:eastAsia="宋体" w:hAnsi="宋体" w:cs="宋体" w:hint="eastAsia"/>
          <w:color w:val="333333"/>
          <w:szCs w:val="24"/>
          <w:shd w:val="clear" w:color="auto" w:fill="FFFFFF"/>
        </w:rPr>
        <w:t>20</w:t>
      </w:r>
      <w:r>
        <w:rPr>
          <w:rFonts w:ascii="宋体" w:eastAsia="宋体" w:hAnsi="宋体" w:cs="宋体" w:hint="eastAsia"/>
          <w:color w:val="333333"/>
          <w:szCs w:val="24"/>
          <w:shd w:val="clear" w:color="auto" w:fill="FFFFFF"/>
        </w:rPr>
        <w:t>号——企业合并》《企业会计准则第</w:t>
      </w:r>
      <w:r>
        <w:rPr>
          <w:rFonts w:ascii="宋体" w:eastAsia="宋体" w:hAnsi="宋体" w:cs="宋体" w:hint="eastAsia"/>
          <w:color w:val="333333"/>
          <w:szCs w:val="24"/>
          <w:shd w:val="clear" w:color="auto" w:fill="FFFFFF"/>
        </w:rPr>
        <w:t>2</w:t>
      </w:r>
      <w:r>
        <w:rPr>
          <w:rFonts w:ascii="宋体" w:eastAsia="宋体" w:hAnsi="宋体" w:cs="宋体" w:hint="eastAsia"/>
          <w:color w:val="333333"/>
          <w:szCs w:val="24"/>
          <w:shd w:val="clear" w:color="auto" w:fill="FFFFFF"/>
        </w:rPr>
        <w:t>号——长期股权投资》和《企业会计准则第</w:t>
      </w:r>
      <w:r>
        <w:rPr>
          <w:rFonts w:ascii="宋体" w:eastAsia="宋体" w:hAnsi="宋体" w:cs="宋体" w:hint="eastAsia"/>
          <w:color w:val="333333"/>
          <w:szCs w:val="24"/>
          <w:shd w:val="clear" w:color="auto" w:fill="FFFFFF"/>
        </w:rPr>
        <w:t>33</w:t>
      </w:r>
      <w:r>
        <w:rPr>
          <w:rFonts w:ascii="宋体" w:eastAsia="宋体" w:hAnsi="宋体" w:cs="宋体" w:hint="eastAsia"/>
          <w:color w:val="333333"/>
          <w:szCs w:val="24"/>
          <w:shd w:val="clear" w:color="auto" w:fill="FFFFFF"/>
        </w:rPr>
        <w:t>号——合并财务报表》。</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w:t>
      </w:r>
      <w:bookmarkStart w:id="1" w:name="_Hlk5608756"/>
      <w:bookmarkStart w:id="2" w:name="_Hlk1637786"/>
      <w:bookmarkEnd w:id="1"/>
      <w:bookmarkEnd w:id="2"/>
      <w:r>
        <w:rPr>
          <w:rFonts w:ascii="宋体" w:eastAsia="宋体" w:hAnsi="宋体" w:cs="宋体" w:hint="eastAsia"/>
          <w:color w:val="333333"/>
          <w:szCs w:val="24"/>
          <w:shd w:val="clear" w:color="auto" w:fill="FFFFFF"/>
        </w:rPr>
        <w:t>非货币性资产交换中涉及由《企业会计准则第</w:t>
      </w:r>
      <w:r>
        <w:rPr>
          <w:rFonts w:ascii="宋体" w:eastAsia="宋体" w:hAnsi="宋体" w:cs="宋体" w:hint="eastAsia"/>
          <w:color w:val="333333"/>
          <w:szCs w:val="24"/>
          <w:shd w:val="clear" w:color="auto" w:fill="FFFFFF"/>
        </w:rPr>
        <w:t>22</w:t>
      </w:r>
      <w:r>
        <w:rPr>
          <w:rFonts w:ascii="宋体" w:eastAsia="宋体" w:hAnsi="宋体" w:cs="宋体" w:hint="eastAsia"/>
          <w:color w:val="333333"/>
          <w:szCs w:val="24"/>
          <w:shd w:val="clear" w:color="auto" w:fill="FFFFFF"/>
        </w:rPr>
        <w:t>号——金融工具确认和计量》规范的金融资产的，金融资产的确认、终止确认和计量适用《企业会计准则第</w:t>
      </w:r>
      <w:r>
        <w:rPr>
          <w:rFonts w:ascii="宋体" w:eastAsia="宋体" w:hAnsi="宋体" w:cs="宋体" w:hint="eastAsia"/>
          <w:color w:val="333333"/>
          <w:szCs w:val="24"/>
          <w:shd w:val="clear" w:color="auto" w:fill="FFFFFF"/>
        </w:rPr>
        <w:t>22</w:t>
      </w:r>
      <w:r>
        <w:rPr>
          <w:rFonts w:ascii="宋体" w:eastAsia="宋体" w:hAnsi="宋体" w:cs="宋体" w:hint="eastAsia"/>
          <w:color w:val="333333"/>
          <w:szCs w:val="24"/>
          <w:shd w:val="clear" w:color="auto" w:fill="FFFFFF"/>
        </w:rPr>
        <w:t>号——金融工具确认和计量》和《企业会计</w:t>
      </w:r>
      <w:r>
        <w:rPr>
          <w:rFonts w:ascii="宋体" w:eastAsia="宋体" w:hAnsi="宋体" w:cs="宋体" w:hint="eastAsia"/>
          <w:color w:val="333333"/>
          <w:szCs w:val="24"/>
          <w:shd w:val="clear" w:color="auto" w:fill="FFFFFF"/>
        </w:rPr>
        <w:t>准则第</w:t>
      </w:r>
      <w:r>
        <w:rPr>
          <w:rFonts w:ascii="宋体" w:eastAsia="宋体" w:hAnsi="宋体" w:cs="宋体" w:hint="eastAsia"/>
          <w:color w:val="333333"/>
          <w:szCs w:val="24"/>
          <w:shd w:val="clear" w:color="auto" w:fill="FFFFFF"/>
        </w:rPr>
        <w:t>23</w:t>
      </w:r>
      <w:r>
        <w:rPr>
          <w:rFonts w:ascii="宋体" w:eastAsia="宋体" w:hAnsi="宋体" w:cs="宋体" w:hint="eastAsia"/>
          <w:color w:val="333333"/>
          <w:szCs w:val="24"/>
          <w:shd w:val="clear" w:color="auto" w:fill="FFFFFF"/>
        </w:rPr>
        <w:t>号——金融资产转移》。</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w:t>
      </w:r>
      <w:bookmarkStart w:id="3" w:name="_Hlk1637811"/>
      <w:bookmarkEnd w:id="3"/>
      <w:r>
        <w:rPr>
          <w:rFonts w:ascii="宋体" w:eastAsia="宋体" w:hAnsi="宋体" w:cs="宋体" w:hint="eastAsia"/>
          <w:color w:val="333333"/>
          <w:szCs w:val="24"/>
          <w:shd w:val="clear" w:color="auto" w:fill="FFFFFF"/>
        </w:rPr>
        <w:t>非货币性资产交换中涉及由《企业会计准则第</w:t>
      </w:r>
      <w:r>
        <w:rPr>
          <w:rFonts w:ascii="宋体" w:eastAsia="宋体" w:hAnsi="宋体" w:cs="宋体" w:hint="eastAsia"/>
          <w:color w:val="333333"/>
          <w:szCs w:val="24"/>
          <w:shd w:val="clear" w:color="auto" w:fill="FFFFFF"/>
        </w:rPr>
        <w:t>21</w:t>
      </w:r>
      <w:r>
        <w:rPr>
          <w:rFonts w:ascii="宋体" w:eastAsia="宋体" w:hAnsi="宋体" w:cs="宋体" w:hint="eastAsia"/>
          <w:color w:val="333333"/>
          <w:szCs w:val="24"/>
          <w:shd w:val="clear" w:color="auto" w:fill="FFFFFF"/>
        </w:rPr>
        <w:t>号——租赁》规范的使用权资产或应收融资租赁款等的，相关资产的确认、终止确认和计量适用《企业会计准则第</w:t>
      </w:r>
      <w:r>
        <w:rPr>
          <w:rFonts w:ascii="宋体" w:eastAsia="宋体" w:hAnsi="宋体" w:cs="宋体" w:hint="eastAsia"/>
          <w:color w:val="333333"/>
          <w:szCs w:val="24"/>
          <w:shd w:val="clear" w:color="auto" w:fill="FFFFFF"/>
        </w:rPr>
        <w:t>21</w:t>
      </w:r>
      <w:r>
        <w:rPr>
          <w:rFonts w:ascii="宋体" w:eastAsia="宋体" w:hAnsi="宋体" w:cs="宋体" w:hint="eastAsia"/>
          <w:color w:val="333333"/>
          <w:szCs w:val="24"/>
          <w:shd w:val="clear" w:color="auto" w:fill="FFFFFF"/>
        </w:rPr>
        <w:t>号——租赁》。</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（五）</w:t>
      </w:r>
      <w:bookmarkStart w:id="4" w:name="_Hlk4081538"/>
      <w:bookmarkEnd w:id="4"/>
      <w:r>
        <w:rPr>
          <w:rFonts w:ascii="宋体" w:eastAsia="宋体" w:hAnsi="宋体" w:cs="宋体" w:hint="eastAsia"/>
          <w:color w:val="333333"/>
          <w:szCs w:val="24"/>
          <w:shd w:val="clear" w:color="auto" w:fill="FFFFFF"/>
        </w:rPr>
        <w:t>非货币性资产交换的一方直接或间接对另一方持股且以股东身份进行交易的，或者非货币性资产交换的双方均受同一方或相同的多方最终控制，且该非货币性资产交换的交易实质是交换的一方向另一方进行了权益性分配或交换的一方接受了另一方权益性投入的，适用权益性交易的有关会计处理规定。</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w:t>
      </w:r>
    </w:p>
    <w:p w:rsidR="006154FE" w:rsidRDefault="000161FB">
      <w:pPr>
        <w:pStyle w:val="a5"/>
        <w:widowControl/>
        <w:spacing w:beforeAutospacing="0" w:after="150" w:afterAutospacing="0" w:line="27"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第二章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确认</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第四</w:t>
      </w:r>
      <w:r>
        <w:rPr>
          <w:rFonts w:ascii="宋体" w:eastAsia="宋体" w:hAnsi="宋体" w:cs="宋体" w:hint="eastAsia"/>
          <w:color w:val="333333"/>
          <w:szCs w:val="24"/>
          <w:shd w:val="clear" w:color="auto" w:fill="FFFFFF"/>
        </w:rPr>
        <w:t>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企业应当分别按照下列原则对非货币性资产交换中的换入资产进行确认，对换出资产终止确认：</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（一）对于</w:t>
      </w:r>
      <w:bookmarkStart w:id="5" w:name="_Hlk3910711"/>
      <w:bookmarkEnd w:id="5"/>
      <w:r>
        <w:rPr>
          <w:rFonts w:ascii="宋体" w:eastAsia="宋体" w:hAnsi="宋体" w:cs="宋体" w:hint="eastAsia"/>
          <w:color w:val="333333"/>
          <w:szCs w:val="24"/>
          <w:shd w:val="clear" w:color="auto" w:fill="FFFFFF"/>
        </w:rPr>
        <w:t>换入资产，企业应当在换入资产符合资产定义并满足资产确认条件时予以确认；</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（二）对于换出资产，企业应当在换出资产满足资产终止确认条件时终止确认。</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第五条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换入资产的确认时点与换出资产的终止确认时点存在不一致的，企业在资产负债表日应当按照下列原则进行处理：</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（一）换入资产满足资产确认条件，换出资产尚未满足终止确认条件的，在确认换入资产的同时将交付换出资产的义务确认为一项负债。</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（二）换入资</w:t>
      </w:r>
      <w:r>
        <w:rPr>
          <w:rFonts w:ascii="宋体" w:eastAsia="宋体" w:hAnsi="宋体" w:cs="宋体" w:hint="eastAsia"/>
          <w:color w:val="333333"/>
          <w:szCs w:val="24"/>
          <w:shd w:val="clear" w:color="auto" w:fill="FFFFFF"/>
        </w:rPr>
        <w:t>产尚未满足资产确认条件，换出资产满足终止确认条件的，在终止确认换出资产的同时将取得换入资产的权利确认为一项资产。</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w:t>
      </w:r>
    </w:p>
    <w:p w:rsidR="006154FE" w:rsidRDefault="000161FB">
      <w:pPr>
        <w:pStyle w:val="a5"/>
        <w:widowControl/>
        <w:spacing w:beforeAutospacing="0" w:after="150" w:afterAutospacing="0" w:line="27"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第三章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以公允价值为基础计量</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第六条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非货币性资产交换同时满足下列条件的，应当以公允价值为基础计量：</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（一）该项交换具有商业实质；</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（二）换入资产或换出资产的公允价值能够可靠地计量。</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换入资产和换出资产的公允价值均能够可靠计量的，应当以换出资产的公允价值为基础计量，但有确凿证据表明换入资产的公允价值更加可靠的除外。</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第七条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满足下列条件之一的非货币性资产交换具有商业实质：</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（一）换入资产的未来现金流量在风险、时间分布或金额方面与换出资产显著不同。</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（二）使用换入资产所产生的预计未来现金流量现值与继续使用换出资产不同，且其差额与换入资产和换出资产的公允价值相比是重大的。</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第八条</w:t>
      </w:r>
      <w:bookmarkStart w:id="6" w:name="_Hlk5625120"/>
      <w:bookmarkEnd w:id="6"/>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以公允价值为基础计量的非货币性资产交换，对于换入资产，应当以换出资产的公允价值和应支付的相关税费作为换入资产的成本进行初始计量；对于换出资产，应当在终止确认时，将换出资产的公允价值与其账面价值之间的差额计入当期损益。</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有确凿证据表明换入</w:t>
      </w:r>
      <w:r>
        <w:rPr>
          <w:rFonts w:ascii="宋体" w:eastAsia="宋体" w:hAnsi="宋体" w:cs="宋体" w:hint="eastAsia"/>
          <w:color w:val="333333"/>
          <w:szCs w:val="24"/>
          <w:shd w:val="clear" w:color="auto" w:fill="FFFFFF"/>
        </w:rPr>
        <w:t>资产的公允价值更加可靠的，对于换入资产，应当以换入资产的公允价值和应支付的相关税费作为换入资产的初始计量金额；对于换出资产，应当在终止确认时，将换入资产的公允价值与换出资产账面价值之间的差额计入当期损益。</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第九条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以公允价值为基础计量的非货币性资产交换，涉及补价的，应当按照下列规定进行处理：</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（一）支付补价的，以换出资产的公允价值，加上支付补价的公允价值和应支付的相关税费，作为换入资产的成本，换出资产的公允价值与其账面价值之间的差额计入当期损益。</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有确凿证据表明换入资产的公允价值更加可靠的，以</w:t>
      </w:r>
      <w:r>
        <w:rPr>
          <w:rFonts w:ascii="宋体" w:eastAsia="宋体" w:hAnsi="宋体" w:cs="宋体" w:hint="eastAsia"/>
          <w:color w:val="333333"/>
          <w:szCs w:val="24"/>
          <w:shd w:val="clear" w:color="auto" w:fill="FFFFFF"/>
        </w:rPr>
        <w:t>换入资产的公允价值和应支付的相关税费作为换入资产的初始计量金额，换入资产的公允价值减去支付补价的公允价值，与换出资产账面价值之间的差额计入当期损益。</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（二）收到补价的，以换出资产的公允价值，减去收到补价的公允价值，加上应支付的相关税费，作为换入资产的成本，换出资产的公允价值与其账面价值之间的差额计入当期损益。</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有确凿证据表明换入资产的公允价值更加可靠的，以换入资产的公允价值和应支付的相关税费作为换入资产的初始计量金额，换入资产的公允价值加上收到补价的公允价值，与换出资产账面价值之间的差额计入当期损益</w:t>
      </w:r>
      <w:r>
        <w:rPr>
          <w:rFonts w:ascii="宋体" w:eastAsia="宋体" w:hAnsi="宋体" w:cs="宋体" w:hint="eastAsia"/>
          <w:color w:val="333333"/>
          <w:szCs w:val="24"/>
          <w:shd w:val="clear" w:color="auto" w:fill="FFFFFF"/>
        </w:rPr>
        <w:t>。</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以公允价值为基础计量的非货币性资产交换，同时换入或换出多项资产的，应当按照下列规定进行处理：</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对于同时换入的多项资产，按照换入的金融资产以外的各项换入资产公允价值相对比例，将换出资产公允价值总额（涉及补价的，加上支付补价的公允价值或减去收到补价的公允价值）扣除换入金融资产公允价值后的净额进行分摊，以分摊至各项换入资产的金额，加上应支付的相关税费，作为各项换入资产的成本进行初始计量。</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有确凿证据表明换入资产的公允价值更加可靠的，以各项换入资产的公允价值和应支付的相关税费作为各项</w:t>
      </w:r>
      <w:r>
        <w:rPr>
          <w:rFonts w:ascii="宋体" w:eastAsia="宋体" w:hAnsi="宋体" w:cs="宋体" w:hint="eastAsia"/>
          <w:color w:val="333333"/>
          <w:szCs w:val="24"/>
          <w:shd w:val="clear" w:color="auto" w:fill="FFFFFF"/>
        </w:rPr>
        <w:t>换入资产的初始计量金额。</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（二）对于同时换出的多项资产，将各项换出资产的公允价值与其账面价值之间的差额，在各项换出资产终止确认时计入当期损益。</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有确凿证据表明换入资产的公允价值更加可靠的，按照各项换出资产的公允价值的相对比例，将换入资产的公允价值总额（涉及补价的，减去支付补价的公允价值或加上收到补价的公允价值）分摊至各项换出资产，分摊至各项换出资产的金额与各项换出资产账面价值之间的差额，在各项换出资产终止确认时计入当期损益。</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w:t>
      </w:r>
    </w:p>
    <w:p w:rsidR="006154FE" w:rsidRDefault="000161FB">
      <w:pPr>
        <w:pStyle w:val="a5"/>
        <w:widowControl/>
        <w:spacing w:beforeAutospacing="0" w:after="150" w:afterAutospacing="0" w:line="27"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第四章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以账面价值为基础计量</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第十一条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不满足本准则第六条规定</w:t>
      </w:r>
      <w:r>
        <w:rPr>
          <w:rFonts w:ascii="宋体" w:eastAsia="宋体" w:hAnsi="宋体" w:cs="宋体" w:hint="eastAsia"/>
          <w:color w:val="333333"/>
          <w:szCs w:val="24"/>
          <w:shd w:val="clear" w:color="auto" w:fill="FFFFFF"/>
        </w:rPr>
        <w:t>条件的非货币性资产交换，应当以账面价值为基础计量。对于换入资产，企业应当以换出资产的账面价值和应支付的相关税费作为换入资产的初始计量金额；对于换出资产，终止确认时不确认损益。</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第十二条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以账面价值为基础计量的非货币性资产交换，涉及补价的，应当按照下列规定进行处理：</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（一）支付补价的，以换出资产的账面价值，加上支付补价的账面价值和应支付的相关税费，作为换入资产的初始计量金额，不确认损益。</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（二）收到补价的，以换出资产的账面价值，减去收到补价的公允价值，加上应支付的相关税费，作为换入资产的初始计量</w:t>
      </w:r>
      <w:r>
        <w:rPr>
          <w:rFonts w:ascii="宋体" w:eastAsia="宋体" w:hAnsi="宋体" w:cs="宋体" w:hint="eastAsia"/>
          <w:color w:val="333333"/>
          <w:szCs w:val="24"/>
          <w:shd w:val="clear" w:color="auto" w:fill="FFFFFF"/>
        </w:rPr>
        <w:t>金额，不确认损益。</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第十三条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以账面价值为基础计量的非货币性资产交换，同时换入或换出多项资产的，应当按照下列规定进行处理：</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一）对于同时换入的多项资产，按照各项换入资产的公允价值的相对比例，将换出资产的账面价值总额（涉及补价的，加上支付补价的账面价值或减去收到补价的公允价值）分摊至各项换入资产，加上应支付的相关税费，作为各项换入资产的初始计量金额。换入资产的公允价值不能够可靠计量的，可以按照各项换入资产的原账面价值的相对比例或其他合理的比例对换出资产的账面价值进行分摊。</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（二）对于同时换出的</w:t>
      </w:r>
      <w:r>
        <w:rPr>
          <w:rFonts w:ascii="宋体" w:eastAsia="宋体" w:hAnsi="宋体" w:cs="宋体" w:hint="eastAsia"/>
          <w:color w:val="333333"/>
          <w:szCs w:val="24"/>
          <w:shd w:val="clear" w:color="auto" w:fill="FFFFFF"/>
        </w:rPr>
        <w:t>多项资产，各项换出资产终止确认时均不确认损益。</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w:t>
      </w:r>
    </w:p>
    <w:p w:rsidR="006154FE" w:rsidRDefault="000161FB">
      <w:pPr>
        <w:pStyle w:val="a5"/>
        <w:widowControl/>
        <w:spacing w:beforeAutospacing="0" w:after="150" w:afterAutospacing="0" w:line="27"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第五章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披露</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第十四条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企业应当在附注中披露与非货币性资产交换有关的下列信息：</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（一）非货币性资产交换是否具有商业实质及其原因。</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（二）换入资产、换出资产的类别。</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（三）换入资产初始计量金额的确定方式。</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（四）换入资产、换出资产的公允价值以及换出资产的账面价值。</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（五）非货币性资产交换确认的损益。</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w:t>
      </w:r>
    </w:p>
    <w:p w:rsidR="006154FE" w:rsidRDefault="000161FB">
      <w:pPr>
        <w:pStyle w:val="a5"/>
        <w:widowControl/>
        <w:spacing w:beforeAutospacing="0" w:after="150" w:afterAutospacing="0" w:line="27" w:lineRule="atLeast"/>
        <w:jc w:val="center"/>
        <w:rPr>
          <w:rFonts w:ascii="宋体" w:eastAsia="宋体" w:hAnsi="宋体" w:cs="宋体"/>
          <w:szCs w:val="24"/>
        </w:rPr>
      </w:pPr>
      <w:r>
        <w:rPr>
          <w:rFonts w:ascii="宋体" w:eastAsia="宋体" w:hAnsi="宋体" w:cs="宋体" w:hint="eastAsia"/>
          <w:color w:val="333333"/>
          <w:szCs w:val="24"/>
          <w:shd w:val="clear" w:color="auto" w:fill="FFFFFF"/>
        </w:rPr>
        <w:t>第六章</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衔接规定</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第十五条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企业对</w:t>
      </w:r>
      <w:r>
        <w:rPr>
          <w:rFonts w:ascii="宋体" w:eastAsia="宋体" w:hAnsi="宋体" w:cs="宋体" w:hint="eastAsia"/>
          <w:color w:val="333333"/>
          <w:szCs w:val="24"/>
          <w:shd w:val="clear" w:color="auto" w:fill="FFFFFF"/>
        </w:rPr>
        <w:t>2019</w:t>
      </w:r>
      <w:r>
        <w:rPr>
          <w:rFonts w:ascii="宋体" w:eastAsia="宋体" w:hAnsi="宋体" w:cs="宋体" w:hint="eastAsia"/>
          <w:color w:val="333333"/>
          <w:szCs w:val="24"/>
          <w:shd w:val="clear" w:color="auto" w:fill="FFFFFF"/>
        </w:rPr>
        <w:t>年</w:t>
      </w:r>
      <w:r>
        <w:rPr>
          <w:rFonts w:ascii="宋体" w:eastAsia="宋体" w:hAnsi="宋体" w:cs="宋体" w:hint="eastAsia"/>
          <w:color w:val="333333"/>
          <w:szCs w:val="24"/>
          <w:shd w:val="clear" w:color="auto" w:fill="FFFFFF"/>
        </w:rPr>
        <w:t>1</w:t>
      </w:r>
      <w:r>
        <w:rPr>
          <w:rFonts w:ascii="宋体" w:eastAsia="宋体" w:hAnsi="宋体" w:cs="宋体" w:hint="eastAsia"/>
          <w:color w:val="333333"/>
          <w:szCs w:val="24"/>
          <w:shd w:val="clear" w:color="auto" w:fill="FFFFFF"/>
        </w:rPr>
        <w:t>月</w:t>
      </w:r>
      <w:r>
        <w:rPr>
          <w:rFonts w:ascii="宋体" w:eastAsia="宋体" w:hAnsi="宋体" w:cs="宋体" w:hint="eastAsia"/>
          <w:color w:val="333333"/>
          <w:szCs w:val="24"/>
          <w:shd w:val="clear" w:color="auto" w:fill="FFFFFF"/>
        </w:rPr>
        <w:t>1</w:t>
      </w:r>
      <w:r>
        <w:rPr>
          <w:rFonts w:ascii="宋体" w:eastAsia="宋体" w:hAnsi="宋体" w:cs="宋体" w:hint="eastAsia"/>
          <w:color w:val="333333"/>
          <w:szCs w:val="24"/>
          <w:shd w:val="clear" w:color="auto" w:fill="FFFFFF"/>
        </w:rPr>
        <w:t>日至本准则施行日之间发生的非货币性资产交换，应根据本准则进行调整。企业对</w:t>
      </w:r>
      <w:r>
        <w:rPr>
          <w:rFonts w:ascii="宋体" w:eastAsia="宋体" w:hAnsi="宋体" w:cs="宋体" w:hint="eastAsia"/>
          <w:color w:val="333333"/>
          <w:szCs w:val="24"/>
          <w:shd w:val="clear" w:color="auto" w:fill="FFFFFF"/>
        </w:rPr>
        <w:t>2019</w:t>
      </w:r>
      <w:r>
        <w:rPr>
          <w:rFonts w:ascii="宋体" w:eastAsia="宋体" w:hAnsi="宋体" w:cs="宋体" w:hint="eastAsia"/>
          <w:color w:val="333333"/>
          <w:szCs w:val="24"/>
          <w:shd w:val="clear" w:color="auto" w:fill="FFFFFF"/>
        </w:rPr>
        <w:t>年</w:t>
      </w:r>
      <w:r>
        <w:rPr>
          <w:rFonts w:ascii="宋体" w:eastAsia="宋体" w:hAnsi="宋体" w:cs="宋体" w:hint="eastAsia"/>
          <w:color w:val="333333"/>
          <w:szCs w:val="24"/>
          <w:shd w:val="clear" w:color="auto" w:fill="FFFFFF"/>
        </w:rPr>
        <w:t>1</w:t>
      </w:r>
      <w:r>
        <w:rPr>
          <w:rFonts w:ascii="宋体" w:eastAsia="宋体" w:hAnsi="宋体" w:cs="宋体" w:hint="eastAsia"/>
          <w:color w:val="333333"/>
          <w:szCs w:val="24"/>
          <w:shd w:val="clear" w:color="auto" w:fill="FFFFFF"/>
        </w:rPr>
        <w:t>月</w:t>
      </w:r>
      <w:r>
        <w:rPr>
          <w:rFonts w:ascii="宋体" w:eastAsia="宋体" w:hAnsi="宋体" w:cs="宋体" w:hint="eastAsia"/>
          <w:color w:val="333333"/>
          <w:szCs w:val="24"/>
          <w:shd w:val="clear" w:color="auto" w:fill="FFFFFF"/>
        </w:rPr>
        <w:t>1</w:t>
      </w:r>
      <w:r>
        <w:rPr>
          <w:rFonts w:ascii="宋体" w:eastAsia="宋体" w:hAnsi="宋体" w:cs="宋体" w:hint="eastAsia"/>
          <w:color w:val="333333"/>
          <w:szCs w:val="24"/>
          <w:shd w:val="clear" w:color="auto" w:fill="FFFFFF"/>
        </w:rPr>
        <w:t>日之前发生的非货币性资产交换，不需要按照本准则的规定进行追溯调整。</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w:t>
      </w:r>
    </w:p>
    <w:p w:rsidR="006154FE" w:rsidRDefault="000161FB">
      <w:pPr>
        <w:pStyle w:val="a5"/>
        <w:widowControl/>
        <w:spacing w:beforeAutospacing="0" w:after="150" w:afterAutospacing="0" w:line="27"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第七章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附则</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第十六条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本准则自</w:t>
      </w:r>
      <w:r>
        <w:rPr>
          <w:rFonts w:ascii="宋体" w:eastAsia="宋体" w:hAnsi="宋体" w:cs="宋体" w:hint="eastAsia"/>
          <w:color w:val="333333"/>
          <w:szCs w:val="24"/>
          <w:shd w:val="clear" w:color="auto" w:fill="FFFFFF"/>
        </w:rPr>
        <w:t>2019</w:t>
      </w:r>
      <w:r>
        <w:rPr>
          <w:rFonts w:ascii="宋体" w:eastAsia="宋体" w:hAnsi="宋体" w:cs="宋体" w:hint="eastAsia"/>
          <w:color w:val="333333"/>
          <w:szCs w:val="24"/>
          <w:shd w:val="clear" w:color="auto" w:fill="FFFFFF"/>
        </w:rPr>
        <w:t>年</w:t>
      </w:r>
      <w:r>
        <w:rPr>
          <w:rFonts w:ascii="宋体" w:eastAsia="宋体" w:hAnsi="宋体" w:cs="宋体" w:hint="eastAsia"/>
          <w:color w:val="333333"/>
          <w:szCs w:val="24"/>
          <w:shd w:val="clear" w:color="auto" w:fill="FFFFFF"/>
        </w:rPr>
        <w:t>6</w:t>
      </w:r>
      <w:r>
        <w:rPr>
          <w:rFonts w:ascii="宋体" w:eastAsia="宋体" w:hAnsi="宋体" w:cs="宋体" w:hint="eastAsia"/>
          <w:color w:val="333333"/>
          <w:szCs w:val="24"/>
          <w:shd w:val="clear" w:color="auto" w:fill="FFFFFF"/>
        </w:rPr>
        <w:t>月</w:t>
      </w:r>
      <w:r>
        <w:rPr>
          <w:rFonts w:ascii="宋体" w:eastAsia="宋体" w:hAnsi="宋体" w:cs="宋体" w:hint="eastAsia"/>
          <w:color w:val="333333"/>
          <w:szCs w:val="24"/>
          <w:shd w:val="clear" w:color="auto" w:fill="FFFFFF"/>
        </w:rPr>
        <w:t>10</w:t>
      </w:r>
      <w:r>
        <w:rPr>
          <w:rFonts w:ascii="宋体" w:eastAsia="宋体" w:hAnsi="宋体" w:cs="宋体" w:hint="eastAsia"/>
          <w:color w:val="333333"/>
          <w:szCs w:val="24"/>
          <w:shd w:val="clear" w:color="auto" w:fill="FFFFFF"/>
        </w:rPr>
        <w:t>日起施行。</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第十七条</w:t>
      </w:r>
      <w:r>
        <w:rPr>
          <w:rFonts w:ascii="宋体" w:eastAsia="宋体" w:hAnsi="宋体" w:cs="宋体" w:hint="eastAsia"/>
          <w:color w:val="333333"/>
          <w:szCs w:val="24"/>
          <w:shd w:val="clear" w:color="auto" w:fill="FFFFFF"/>
        </w:rPr>
        <w:t>  2006</w:t>
      </w:r>
      <w:r>
        <w:rPr>
          <w:rFonts w:ascii="宋体" w:eastAsia="宋体" w:hAnsi="宋体" w:cs="宋体" w:hint="eastAsia"/>
          <w:color w:val="333333"/>
          <w:szCs w:val="24"/>
          <w:shd w:val="clear" w:color="auto" w:fill="FFFFFF"/>
        </w:rPr>
        <w:t>年</w:t>
      </w:r>
      <w:r>
        <w:rPr>
          <w:rFonts w:ascii="宋体" w:eastAsia="宋体" w:hAnsi="宋体" w:cs="宋体" w:hint="eastAsia"/>
          <w:color w:val="333333"/>
          <w:szCs w:val="24"/>
          <w:shd w:val="clear" w:color="auto" w:fill="FFFFFF"/>
        </w:rPr>
        <w:t>2</w:t>
      </w:r>
      <w:r>
        <w:rPr>
          <w:rFonts w:ascii="宋体" w:eastAsia="宋体" w:hAnsi="宋体" w:cs="宋体" w:hint="eastAsia"/>
          <w:color w:val="333333"/>
          <w:szCs w:val="24"/>
          <w:shd w:val="clear" w:color="auto" w:fill="FFFFFF"/>
        </w:rPr>
        <w:t>月</w:t>
      </w:r>
      <w:r>
        <w:rPr>
          <w:rFonts w:ascii="宋体" w:eastAsia="宋体" w:hAnsi="宋体" w:cs="宋体" w:hint="eastAsia"/>
          <w:color w:val="333333"/>
          <w:szCs w:val="24"/>
          <w:shd w:val="clear" w:color="auto" w:fill="FFFFFF"/>
        </w:rPr>
        <w:t>15</w:t>
      </w:r>
      <w:r>
        <w:rPr>
          <w:rFonts w:ascii="宋体" w:eastAsia="宋体" w:hAnsi="宋体" w:cs="宋体" w:hint="eastAsia"/>
          <w:color w:val="333333"/>
          <w:szCs w:val="24"/>
          <w:shd w:val="clear" w:color="auto" w:fill="FFFFFF"/>
        </w:rPr>
        <w:t>日财政部印发的《财政部关于印发</w:t>
      </w:r>
      <w:r>
        <w:rPr>
          <w:rFonts w:ascii="宋体" w:eastAsia="宋体" w:hAnsi="宋体" w:cs="宋体" w:hint="eastAsia"/>
          <w:color w:val="333333"/>
          <w:szCs w:val="24"/>
          <w:shd w:val="clear" w:color="auto" w:fill="FFFFFF"/>
        </w:rPr>
        <w:t>&lt;</w:t>
      </w:r>
      <w:r>
        <w:rPr>
          <w:rFonts w:ascii="宋体" w:eastAsia="宋体" w:hAnsi="宋体" w:cs="宋体" w:hint="eastAsia"/>
          <w:color w:val="333333"/>
          <w:szCs w:val="24"/>
          <w:shd w:val="clear" w:color="auto" w:fill="FFFFFF"/>
        </w:rPr>
        <w:t>企业会计准则第</w:t>
      </w:r>
      <w:r>
        <w:rPr>
          <w:rFonts w:ascii="宋体" w:eastAsia="宋体" w:hAnsi="宋体" w:cs="宋体" w:hint="eastAsia"/>
          <w:color w:val="333333"/>
          <w:szCs w:val="24"/>
          <w:shd w:val="clear" w:color="auto" w:fill="FFFFFF"/>
        </w:rPr>
        <w:t>1</w:t>
      </w:r>
      <w:r>
        <w:rPr>
          <w:rFonts w:ascii="宋体" w:eastAsia="宋体" w:hAnsi="宋体" w:cs="宋体" w:hint="eastAsia"/>
          <w:color w:val="333333"/>
          <w:szCs w:val="24"/>
          <w:shd w:val="clear" w:color="auto" w:fill="FFFFFF"/>
        </w:rPr>
        <w:t>号——存货</w:t>
      </w:r>
      <w:r>
        <w:rPr>
          <w:rFonts w:ascii="宋体" w:eastAsia="宋体" w:hAnsi="宋体" w:cs="宋体" w:hint="eastAsia"/>
          <w:color w:val="333333"/>
          <w:szCs w:val="24"/>
          <w:shd w:val="clear" w:color="auto" w:fill="FFFFFF"/>
        </w:rPr>
        <w:t>&gt;</w:t>
      </w:r>
      <w:r>
        <w:rPr>
          <w:rFonts w:ascii="宋体" w:eastAsia="宋体" w:hAnsi="宋体" w:cs="宋体" w:hint="eastAsia"/>
          <w:color w:val="333333"/>
          <w:szCs w:val="24"/>
          <w:shd w:val="clear" w:color="auto" w:fill="FFFFFF"/>
        </w:rPr>
        <w:t>等</w:t>
      </w:r>
      <w:r>
        <w:rPr>
          <w:rFonts w:ascii="宋体" w:eastAsia="宋体" w:hAnsi="宋体" w:cs="宋体" w:hint="eastAsia"/>
          <w:color w:val="333333"/>
          <w:szCs w:val="24"/>
          <w:shd w:val="clear" w:color="auto" w:fill="FFFFFF"/>
        </w:rPr>
        <w:t>38</w:t>
      </w:r>
      <w:r>
        <w:rPr>
          <w:rFonts w:ascii="宋体" w:eastAsia="宋体" w:hAnsi="宋体" w:cs="宋体" w:hint="eastAsia"/>
          <w:color w:val="333333"/>
          <w:szCs w:val="24"/>
          <w:shd w:val="clear" w:color="auto" w:fill="FFFFFF"/>
        </w:rPr>
        <w:t>项具体准则的通知》（财会﹝</w:t>
      </w:r>
      <w:r>
        <w:rPr>
          <w:rFonts w:ascii="宋体" w:eastAsia="宋体" w:hAnsi="宋体" w:cs="宋体" w:hint="eastAsia"/>
          <w:color w:val="333333"/>
          <w:szCs w:val="24"/>
          <w:shd w:val="clear" w:color="auto" w:fill="FFFFFF"/>
        </w:rPr>
        <w:t>2006</w:t>
      </w:r>
      <w:r>
        <w:rPr>
          <w:rFonts w:ascii="宋体" w:eastAsia="宋体" w:hAnsi="宋体" w:cs="宋体" w:hint="eastAsia"/>
          <w:color w:val="333333"/>
          <w:szCs w:val="24"/>
          <w:shd w:val="clear" w:color="auto" w:fill="FFFFFF"/>
        </w:rPr>
        <w:t>﹞</w:t>
      </w:r>
      <w:r>
        <w:rPr>
          <w:rFonts w:ascii="宋体" w:eastAsia="宋体" w:hAnsi="宋体" w:cs="宋体" w:hint="eastAsia"/>
          <w:color w:val="333333"/>
          <w:szCs w:val="24"/>
          <w:shd w:val="clear" w:color="auto" w:fill="FFFFFF"/>
        </w:rPr>
        <w:t>3</w:t>
      </w:r>
      <w:r>
        <w:rPr>
          <w:rFonts w:ascii="宋体" w:eastAsia="宋体" w:hAnsi="宋体" w:cs="宋体" w:hint="eastAsia"/>
          <w:color w:val="333333"/>
          <w:szCs w:val="24"/>
          <w:shd w:val="clear" w:color="auto" w:fill="FFFFFF"/>
        </w:rPr>
        <w:t>号）中的《企业会计准则第</w:t>
      </w:r>
      <w:r>
        <w:rPr>
          <w:rFonts w:ascii="宋体" w:eastAsia="宋体" w:hAnsi="宋体" w:cs="宋体" w:hint="eastAsia"/>
          <w:color w:val="333333"/>
          <w:szCs w:val="24"/>
          <w:shd w:val="clear" w:color="auto" w:fill="FFFFFF"/>
        </w:rPr>
        <w:t>7</w:t>
      </w:r>
      <w:r>
        <w:rPr>
          <w:rFonts w:ascii="宋体" w:eastAsia="宋体" w:hAnsi="宋体" w:cs="宋体" w:hint="eastAsia"/>
          <w:color w:val="333333"/>
          <w:szCs w:val="24"/>
          <w:shd w:val="clear" w:color="auto" w:fill="FFFFFF"/>
        </w:rPr>
        <w:t>号——非货币性资产交换》同时废止。</w:t>
      </w:r>
    </w:p>
    <w:p w:rsidR="006154FE" w:rsidRDefault="000161FB">
      <w:pPr>
        <w:pStyle w:val="a5"/>
        <w:widowControl/>
        <w:spacing w:beforeAutospacing="0" w:after="150" w:afterAutospacing="0" w:line="27"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财政部此前发布的有关非货币性资产交换会计处理规定与本准则</w:t>
      </w:r>
      <w:r>
        <w:rPr>
          <w:rFonts w:ascii="宋体" w:eastAsia="宋体" w:hAnsi="宋体" w:cs="宋体" w:hint="eastAsia"/>
          <w:color w:val="333333"/>
          <w:szCs w:val="24"/>
          <w:shd w:val="clear" w:color="auto" w:fill="FFFFFF"/>
        </w:rPr>
        <w:t>不一致的，以本准则为准。</w:t>
      </w:r>
    </w:p>
    <w:p w:rsidR="006154FE" w:rsidRDefault="006154FE"/>
    <w:sectPr w:rsidR="006154F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0161FB"/>
    <w:rsid w:val="002E64C2"/>
    <w:rsid w:val="00561186"/>
    <w:rsid w:val="006154FE"/>
    <w:rsid w:val="00C301AA"/>
    <w:rsid w:val="249D53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524</Words>
  <Characters>2992</Characters>
  <Application>Microsoft Office Word</Application>
  <DocSecurity>0</DocSecurity>
  <Lines>24</Lines>
  <Paragraphs>7</Paragraphs>
  <ScaleCrop>false</ScaleCrop>
  <Company/>
  <LinksUpToDate>false</LinksUpToDate>
  <CharactersWithSpaces>3509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3</cp:revision>
  <dcterms:created xsi:type="dcterms:W3CDTF">2022-03-17T06:05:00Z</dcterms:created>
  <dcterms:modified xsi:type="dcterms:W3CDTF">2022-03-21T05:41:00Z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E91DC0068C2F4977A93D9A571404A50C</vt:lpwstr>
  </property>
</Properties>
</file>