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44BF" w:rsidRDefault="00997CCA">
      <w:pPr>
        <w:pStyle w:val="2"/>
        <w:widowControl/>
        <w:shd w:val="clear" w:color="auto" w:fill="FFFFFF"/>
        <w:spacing w:beforeAutospacing="0" w:afterAutospacing="0" w:line="675" w:lineRule="atLeast"/>
        <w:jc w:val="center"/>
        <w:rPr>
          <w:rFonts w:ascii="微软雅黑" w:eastAsia="微软雅黑" w:hAnsi="微软雅黑" w:cs="微软雅黑"/>
          <w:color w:val="333333"/>
          <w:shd w:val="clear" w:color="auto" w:fill="FFFFFF"/>
        </w:rPr>
      </w:pPr>
      <w:r>
        <w:rPr>
          <w:rFonts w:ascii="微软雅黑" w:eastAsia="微软雅黑" w:hAnsi="微软雅黑" w:cs="微软雅黑"/>
          <w:color w:val="333333"/>
          <w:shd w:val="clear" w:color="auto" w:fill="FFFFFF"/>
        </w:rPr>
        <w:t>企业会计准则第</w:t>
      </w:r>
      <w:r>
        <w:rPr>
          <w:rFonts w:ascii="微软雅黑" w:eastAsia="微软雅黑" w:hAnsi="微软雅黑" w:cs="微软雅黑"/>
          <w:color w:val="333333"/>
          <w:shd w:val="clear" w:color="auto" w:fill="FFFFFF"/>
        </w:rPr>
        <w:t>41</w:t>
      </w:r>
      <w:r>
        <w:rPr>
          <w:rFonts w:ascii="微软雅黑" w:eastAsia="微软雅黑" w:hAnsi="微软雅黑" w:cs="微软雅黑"/>
          <w:color w:val="333333"/>
          <w:shd w:val="clear" w:color="auto" w:fill="FFFFFF"/>
        </w:rPr>
        <w:t>号——在其他主体中权益的披露</w:t>
      </w:r>
    </w:p>
    <w:p w:rsidR="00997CCA" w:rsidRPr="00997CCA" w:rsidRDefault="00997CCA" w:rsidP="00997CCA"/>
    <w:p w:rsidR="008744BF" w:rsidRDefault="00997CCA">
      <w:pPr>
        <w:pStyle w:val="a5"/>
        <w:widowControl/>
        <w:spacing w:beforeAutospacing="0" w:after="150" w:afterAutospacing="0" w:line="420" w:lineRule="atLeast"/>
        <w:jc w:val="center"/>
      </w:pPr>
      <w:r>
        <w:rPr>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Cs w:val="24"/>
          <w:shd w:val="clear" w:color="auto" w:fill="FFFFFF"/>
        </w:rPr>
        <w:t>第一章</w:t>
      </w:r>
      <w:r>
        <w:rPr>
          <w:rStyle w:val="a6"/>
          <w:rFonts w:ascii="微软雅黑" w:eastAsia="微软雅黑" w:hAnsi="微软雅黑" w:cs="微软雅黑" w:hint="eastAsia"/>
          <w:color w:val="333333"/>
          <w:szCs w:val="24"/>
          <w:shd w:val="clear" w:color="auto" w:fill="FFFFFF"/>
        </w:rPr>
        <w:t xml:space="preserve"> </w:t>
      </w:r>
      <w:r>
        <w:rPr>
          <w:rStyle w:val="a6"/>
          <w:rFonts w:ascii="微软雅黑" w:eastAsia="微软雅黑" w:hAnsi="微软雅黑" w:cs="微软雅黑" w:hint="eastAsia"/>
          <w:color w:val="333333"/>
          <w:szCs w:val="24"/>
          <w:shd w:val="clear" w:color="auto" w:fill="FFFFFF"/>
        </w:rPr>
        <w:t>总</w:t>
      </w:r>
      <w:r>
        <w:rPr>
          <w:rStyle w:val="a6"/>
          <w:rFonts w:ascii="微软雅黑" w:eastAsia="微软雅黑" w:hAnsi="微软雅黑" w:cs="微软雅黑" w:hint="eastAsia"/>
          <w:color w:val="333333"/>
          <w:szCs w:val="24"/>
          <w:shd w:val="clear" w:color="auto" w:fill="FFFFFF"/>
        </w:rPr>
        <w:t xml:space="preserve"> </w:t>
      </w:r>
      <w:r>
        <w:rPr>
          <w:rStyle w:val="a6"/>
          <w:rFonts w:ascii="微软雅黑" w:eastAsia="微软雅黑" w:hAnsi="微软雅黑" w:cs="微软雅黑" w:hint="eastAsia"/>
          <w:color w:val="333333"/>
          <w:szCs w:val="24"/>
          <w:shd w:val="clear" w:color="auto" w:fill="FFFFFF"/>
        </w:rPr>
        <w:t>则</w:t>
      </w:r>
      <w:r>
        <w:rPr>
          <w:rFonts w:ascii="微软雅黑" w:eastAsia="微软雅黑" w:hAnsi="微软雅黑" w:cs="微软雅黑" w:hint="eastAsia"/>
          <w:color w:val="333333"/>
          <w:szCs w:val="24"/>
          <w:shd w:val="clear" w:color="auto" w:fill="FFFFFF"/>
        </w:rPr>
        <w:t> </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第一条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为了规范在其他主体中权益的披露，根据《企业会计准则——基本准则》，制定本准则。</w:t>
      </w:r>
      <w:bookmarkStart w:id="0" w:name="_GoBack"/>
      <w:bookmarkEnd w:id="0"/>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企业披露的在其他主体中权益的信息，应当有助于财务报表使用者评估企业在其他主体中权益的性质和相关风险，以及该权益对企业财务状况、经营成果和现金流量的影响。</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第三条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本准则所指的在其他主体中的权益，是指通过合同或其他形式能够使企业参与其他主体的相关活动并因此享有可变回报的权益。参与方式包括持有其他主体的股权、债权</w:t>
      </w:r>
      <w:r>
        <w:rPr>
          <w:rFonts w:ascii="微软雅黑" w:eastAsia="微软雅黑" w:hAnsi="微软雅黑" w:cs="微软雅黑" w:hint="eastAsia"/>
          <w:color w:val="333333"/>
          <w:sz w:val="21"/>
          <w:szCs w:val="21"/>
          <w:shd w:val="clear" w:color="auto" w:fill="FFFFFF"/>
        </w:rPr>
        <w:t>,</w:t>
      </w:r>
      <w:r>
        <w:rPr>
          <w:rFonts w:ascii="微软雅黑" w:eastAsia="微软雅黑" w:hAnsi="微软雅黑" w:cs="微软雅黑" w:hint="eastAsia"/>
          <w:color w:val="333333"/>
          <w:sz w:val="21"/>
          <w:szCs w:val="21"/>
          <w:shd w:val="clear" w:color="auto" w:fill="FFFFFF"/>
        </w:rPr>
        <w:t>或向其他主体提供资金、流动性支持、信用增级和担保等。企业通过这些参与方式实现对其他主体的控制、共同控制或重大影响。其他主体包括企业的子公司、合营安排（包括共同经营和合营企业）、联营企业以及未纳入合并财务报表范围的结构化主体等。</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结构化主体，是指在确定其控制方时没有将表决权或类似权利作为决定因素而设计的主体。</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第四条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本准则适用于企业在子公司、合营安排、</w:t>
      </w:r>
      <w:r>
        <w:rPr>
          <w:rFonts w:ascii="微软雅黑" w:eastAsia="微软雅黑" w:hAnsi="微软雅黑" w:cs="微软雅黑" w:hint="eastAsia"/>
          <w:color w:val="333333"/>
          <w:sz w:val="21"/>
          <w:szCs w:val="21"/>
          <w:shd w:val="clear" w:color="auto" w:fill="FFFFFF"/>
        </w:rPr>
        <w:t>联营企业和未纳入合并财务报表范围的结构化主体中权益的披露。</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企业同时提供合并财务报表和母公司个别财务报表的，应当在合并财务报表附注中披露本准则要求的信息，不需要在母公司个别财务报表附注中重复披露相关信息。</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第五条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下列各项的披露适用其他相关会计准则：</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（一）离职后福利计划或其他长期职工福利计划，适用《企业会计准则第</w:t>
      </w:r>
      <w:r>
        <w:rPr>
          <w:rFonts w:ascii="微软雅黑" w:eastAsia="微软雅黑" w:hAnsi="微软雅黑" w:cs="微软雅黑" w:hint="eastAsia"/>
          <w:color w:val="333333"/>
          <w:sz w:val="21"/>
          <w:szCs w:val="21"/>
          <w:shd w:val="clear" w:color="auto" w:fill="FFFFFF"/>
        </w:rPr>
        <w:t>9</w:t>
      </w:r>
      <w:r>
        <w:rPr>
          <w:rFonts w:ascii="微软雅黑" w:eastAsia="微软雅黑" w:hAnsi="微软雅黑" w:cs="微软雅黑" w:hint="eastAsia"/>
          <w:color w:val="333333"/>
          <w:sz w:val="21"/>
          <w:szCs w:val="21"/>
          <w:shd w:val="clear" w:color="auto" w:fill="FFFFFF"/>
        </w:rPr>
        <w:t>号——职工薪酬》。</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（二）企业在其参与的但不享有共同控制的合营安排中的权益，适用《企业会计准则第</w:t>
      </w:r>
      <w:r>
        <w:rPr>
          <w:rFonts w:ascii="微软雅黑" w:eastAsia="微软雅黑" w:hAnsi="微软雅黑" w:cs="微软雅黑" w:hint="eastAsia"/>
          <w:color w:val="333333"/>
          <w:sz w:val="21"/>
          <w:szCs w:val="21"/>
          <w:shd w:val="clear" w:color="auto" w:fill="FFFFFF"/>
        </w:rPr>
        <w:t>37</w:t>
      </w:r>
      <w:r>
        <w:rPr>
          <w:rFonts w:ascii="微软雅黑" w:eastAsia="微软雅黑" w:hAnsi="微软雅黑" w:cs="微软雅黑" w:hint="eastAsia"/>
          <w:color w:val="333333"/>
          <w:sz w:val="21"/>
          <w:szCs w:val="21"/>
          <w:shd w:val="clear" w:color="auto" w:fill="FFFFFF"/>
        </w:rPr>
        <w:t>号——金融工具列报》。但是，企业对该合营安排具有重大影响或该合营安排是结构化主</w:t>
      </w:r>
      <w:r>
        <w:rPr>
          <w:rFonts w:ascii="微软雅黑" w:eastAsia="微软雅黑" w:hAnsi="微软雅黑" w:cs="微软雅黑" w:hint="eastAsia"/>
          <w:color w:val="333333"/>
          <w:sz w:val="21"/>
          <w:szCs w:val="21"/>
          <w:shd w:val="clear" w:color="auto" w:fill="FFFFFF"/>
        </w:rPr>
        <w:t>体的，适用本准则。</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（三）企业持有的由《企业会计准则第</w:t>
      </w:r>
      <w:r>
        <w:rPr>
          <w:rFonts w:ascii="微软雅黑" w:eastAsia="微软雅黑" w:hAnsi="微软雅黑" w:cs="微软雅黑" w:hint="eastAsia"/>
          <w:color w:val="333333"/>
          <w:sz w:val="21"/>
          <w:szCs w:val="21"/>
          <w:shd w:val="clear" w:color="auto" w:fill="FFFFFF"/>
        </w:rPr>
        <w:t>22</w:t>
      </w:r>
      <w:r>
        <w:rPr>
          <w:rFonts w:ascii="微软雅黑" w:eastAsia="微软雅黑" w:hAnsi="微软雅黑" w:cs="微软雅黑" w:hint="eastAsia"/>
          <w:color w:val="333333"/>
          <w:sz w:val="21"/>
          <w:szCs w:val="21"/>
          <w:shd w:val="clear" w:color="auto" w:fill="FFFFFF"/>
        </w:rPr>
        <w:t>号——金融工具确认和计量》规范的在其他主体中的权益，适用《企业会计准则第</w:t>
      </w:r>
      <w:r>
        <w:rPr>
          <w:rFonts w:ascii="微软雅黑" w:eastAsia="微软雅黑" w:hAnsi="微软雅黑" w:cs="微软雅黑" w:hint="eastAsia"/>
          <w:color w:val="333333"/>
          <w:sz w:val="21"/>
          <w:szCs w:val="21"/>
          <w:shd w:val="clear" w:color="auto" w:fill="FFFFFF"/>
        </w:rPr>
        <w:t>37</w:t>
      </w:r>
      <w:r>
        <w:rPr>
          <w:rFonts w:ascii="微软雅黑" w:eastAsia="微软雅黑" w:hAnsi="微软雅黑" w:cs="微软雅黑" w:hint="eastAsia"/>
          <w:color w:val="333333"/>
          <w:sz w:val="21"/>
          <w:szCs w:val="21"/>
          <w:shd w:val="clear" w:color="auto" w:fill="FFFFFF"/>
        </w:rPr>
        <w:t>号——金融工具列报》。但是，企业在未纳入合并财务报表范</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围的结构化主体中的权益，以及根据其他相关会计准则以公允价值计量且其变动计入当期损益的在联营企业或合营企业中的权益，适用本准则。</w:t>
      </w:r>
    </w:p>
    <w:p w:rsidR="008744BF" w:rsidRDefault="00997CCA">
      <w:pPr>
        <w:pStyle w:val="a5"/>
        <w:widowControl/>
        <w:spacing w:beforeAutospacing="0" w:after="150" w:afterAutospacing="0" w:line="420" w:lineRule="atLeast"/>
        <w:jc w:val="center"/>
      </w:pPr>
      <w:r>
        <w:rPr>
          <w:rStyle w:val="a6"/>
          <w:rFonts w:ascii="微软雅黑" w:eastAsia="微软雅黑" w:hAnsi="微软雅黑" w:cs="微软雅黑" w:hint="eastAsia"/>
          <w:color w:val="333333"/>
          <w:sz w:val="21"/>
          <w:szCs w:val="21"/>
          <w:shd w:val="clear" w:color="auto" w:fill="FFFFFF"/>
        </w:rPr>
        <w:t>第二章</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重大判断和假设的披露</w:t>
      </w:r>
      <w:r>
        <w:rPr>
          <w:rFonts w:ascii="微软雅黑" w:eastAsia="微软雅黑" w:hAnsi="微软雅黑" w:cs="微软雅黑" w:hint="eastAsia"/>
          <w:color w:val="333333"/>
          <w:sz w:val="21"/>
          <w:szCs w:val="21"/>
          <w:shd w:val="clear" w:color="auto" w:fill="FFFFFF"/>
        </w:rPr>
        <w:t> </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第六条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企业应当披露对其他主体实施控制、共同控制或重大影响的重大判断和假设，以及这些判断和假设变更的情况，包括但不限于下列各项：</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（一）企业持有其他主体半数或以下的表决权但仍控制该主体的判断和假设，或者持有其他主体半数以上的表决权但并不控制该主体的判断和假设。</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（二）企业持有其他主体</w:t>
      </w:r>
      <w:r>
        <w:rPr>
          <w:rFonts w:ascii="微软雅黑" w:eastAsia="微软雅黑" w:hAnsi="微软雅黑" w:cs="微软雅黑" w:hint="eastAsia"/>
          <w:color w:val="333333"/>
          <w:sz w:val="21"/>
          <w:szCs w:val="21"/>
          <w:shd w:val="clear" w:color="auto" w:fill="FFFFFF"/>
        </w:rPr>
        <w:t>20%</w:t>
      </w:r>
      <w:r>
        <w:rPr>
          <w:rFonts w:ascii="微软雅黑" w:eastAsia="微软雅黑" w:hAnsi="微软雅黑" w:cs="微软雅黑" w:hint="eastAsia"/>
          <w:color w:val="333333"/>
          <w:sz w:val="21"/>
          <w:szCs w:val="21"/>
          <w:shd w:val="clear" w:color="auto" w:fill="FFFFFF"/>
        </w:rPr>
        <w:t>以下的表决权但对该主体具有重大影响的判断和假设，或者持有其他主体</w:t>
      </w:r>
      <w:r>
        <w:rPr>
          <w:rFonts w:ascii="微软雅黑" w:eastAsia="微软雅黑" w:hAnsi="微软雅黑" w:cs="微软雅黑" w:hint="eastAsia"/>
          <w:color w:val="333333"/>
          <w:sz w:val="21"/>
          <w:szCs w:val="21"/>
          <w:shd w:val="clear" w:color="auto" w:fill="FFFFFF"/>
        </w:rPr>
        <w:t>20%</w:t>
      </w:r>
      <w:r>
        <w:rPr>
          <w:rFonts w:ascii="微软雅黑" w:eastAsia="微软雅黑" w:hAnsi="微软雅黑" w:cs="微软雅黑" w:hint="eastAsia"/>
          <w:color w:val="333333"/>
          <w:sz w:val="21"/>
          <w:szCs w:val="21"/>
          <w:shd w:val="clear" w:color="auto" w:fill="FFFFFF"/>
        </w:rPr>
        <w:t>或以上的表决权但对该主体不具有重大影响的判断和假设。</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（三）企业通过单独主体达成合营安排的，确定该合营安排是共同经营还是合营企业的判断和假设。</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（四）确定企业是代理人还是委托人的判断和假设。</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第七条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企业应当披露按照《企业会计准则第</w:t>
      </w:r>
      <w:r>
        <w:rPr>
          <w:rFonts w:ascii="微软雅黑" w:eastAsia="微软雅黑" w:hAnsi="微软雅黑" w:cs="微软雅黑" w:hint="eastAsia"/>
          <w:color w:val="333333"/>
          <w:sz w:val="21"/>
          <w:szCs w:val="21"/>
          <w:shd w:val="clear" w:color="auto" w:fill="FFFFFF"/>
        </w:rPr>
        <w:t>33</w:t>
      </w:r>
      <w:r>
        <w:rPr>
          <w:rFonts w:ascii="微软雅黑" w:eastAsia="微软雅黑" w:hAnsi="微软雅黑" w:cs="微软雅黑" w:hint="eastAsia"/>
          <w:color w:val="333333"/>
          <w:sz w:val="21"/>
          <w:szCs w:val="21"/>
          <w:shd w:val="clear" w:color="auto" w:fill="FFFFFF"/>
        </w:rPr>
        <w:t>号——合并财务报表》被确定</w:t>
      </w:r>
      <w:r>
        <w:rPr>
          <w:rFonts w:ascii="微软雅黑" w:eastAsia="微软雅黑" w:hAnsi="微软雅黑" w:cs="微软雅黑" w:hint="eastAsia"/>
          <w:color w:val="333333"/>
          <w:sz w:val="21"/>
          <w:szCs w:val="21"/>
          <w:shd w:val="clear" w:color="auto" w:fill="FFFFFF"/>
        </w:rPr>
        <w:t>为投资性主体的重大判断和假设，以及虽然不符合《企业会计准则第</w:t>
      </w:r>
      <w:r>
        <w:rPr>
          <w:rFonts w:ascii="微软雅黑" w:eastAsia="微软雅黑" w:hAnsi="微软雅黑" w:cs="微软雅黑" w:hint="eastAsia"/>
          <w:color w:val="333333"/>
          <w:sz w:val="21"/>
          <w:szCs w:val="21"/>
          <w:shd w:val="clear" w:color="auto" w:fill="FFFFFF"/>
        </w:rPr>
        <w:t>33</w:t>
      </w:r>
      <w:r>
        <w:rPr>
          <w:rFonts w:ascii="微软雅黑" w:eastAsia="微软雅黑" w:hAnsi="微软雅黑" w:cs="微软雅黑" w:hint="eastAsia"/>
          <w:color w:val="333333"/>
          <w:sz w:val="21"/>
          <w:szCs w:val="21"/>
          <w:shd w:val="clear" w:color="auto" w:fill="FFFFFF"/>
        </w:rPr>
        <w:t>号——合并财务报表》有关投资性主体的一项或多项特征但仍被确定为投资性主体的原因。</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母公司）由非投资性主体转变为投资性主体的，应当披露该变化及其原因，并披露该变化对财务报表的影响，包括对变化当日不再纳入合并财务报表范围子公司的投资的公允价值、按照公允价值重新计量产生的利得或损失以及相应的列报项目。</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企业（母公司）由投资性主体转变为非投资性主体的，应当披露该变化及其原因。</w:t>
      </w:r>
    </w:p>
    <w:p w:rsidR="008744BF" w:rsidRDefault="00997CCA">
      <w:pPr>
        <w:pStyle w:val="a5"/>
        <w:widowControl/>
        <w:spacing w:beforeAutospacing="0" w:after="150" w:afterAutospacing="0" w:line="420" w:lineRule="atLeast"/>
        <w:jc w:val="center"/>
      </w:pPr>
      <w:r>
        <w:rPr>
          <w:rStyle w:val="a6"/>
          <w:rFonts w:ascii="微软雅黑" w:eastAsia="微软雅黑" w:hAnsi="微软雅黑" w:cs="微软雅黑" w:hint="eastAsia"/>
          <w:color w:val="333333"/>
          <w:sz w:val="21"/>
          <w:szCs w:val="21"/>
          <w:shd w:val="clear" w:color="auto" w:fill="FFFFFF"/>
        </w:rPr>
        <w:t>第三章</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在子公司中权益的披露</w:t>
      </w:r>
      <w:r>
        <w:rPr>
          <w:rFonts w:ascii="微软雅黑" w:eastAsia="微软雅黑" w:hAnsi="微软雅黑" w:cs="微软雅黑" w:hint="eastAsia"/>
          <w:color w:val="333333"/>
          <w:sz w:val="21"/>
          <w:szCs w:val="21"/>
          <w:shd w:val="clear" w:color="auto" w:fill="FFFFFF"/>
        </w:rPr>
        <w:t> </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第八条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企业应当在合并财务报表附注</w:t>
      </w:r>
      <w:r>
        <w:rPr>
          <w:rFonts w:ascii="微软雅黑" w:eastAsia="微软雅黑" w:hAnsi="微软雅黑" w:cs="微软雅黑" w:hint="eastAsia"/>
          <w:color w:val="333333"/>
          <w:sz w:val="21"/>
          <w:szCs w:val="21"/>
          <w:shd w:val="clear" w:color="auto" w:fill="FFFFFF"/>
        </w:rPr>
        <w:t>中披露企业集团的构成，包括子公司的名称、主要经营地及注册地、业务性质、企业的持股比例（或类似权益比例，下同）等。</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子公司少数股东持有的权益对企业集团重要的，企业还应当在合并财务报表附注中披露下列信息：</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（一）子公司少数股东的持股比例。子公司少数股东的持股比例不同于其持有的表决权比例的，企业还应当披露该表决权比例。</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（二）当期归属于子公司少数股东的损益以及向少数股东支付的股利。</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（三）子公司在当期期末累计的少数股东权益余额。</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（四）子公司的主要财务信息。</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第九条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使用企业集团资产和清偿企业集团债务存在重大限制的，企业应当在合并财务报表附注中披露下列信息：</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（一）该限制的内容，包括对母公司或其子公司与企业集团内其他主体相互转移现金或其他资产的限制，以及对企业集团内主体之间发放股利或进行利润分配、发放或收回贷款或垫款等的限制。</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（二）子公司少数股东享有保护性权利、并且该保护性权利对企业使用企业集团资产或清偿企业集团负债的能力存在重大限制的，该限制的性质和程度。</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（三）该限制涉及的资产和负债在合并财务报表中的金额。</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第十条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企业存在纳入合并财务报表范围的结</w:t>
      </w:r>
      <w:r>
        <w:rPr>
          <w:rFonts w:ascii="微软雅黑" w:eastAsia="微软雅黑" w:hAnsi="微软雅黑" w:cs="微软雅黑" w:hint="eastAsia"/>
          <w:color w:val="333333"/>
          <w:sz w:val="21"/>
          <w:szCs w:val="21"/>
          <w:shd w:val="clear" w:color="auto" w:fill="FFFFFF"/>
        </w:rPr>
        <w:t>构化主体的，应当在合并财务报表附注中披露下列信息：</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（一）合同约定企业或其子公司向该结构化主体提供财务支持的，应当披露提供财务支持的合同条款，包括可能导致企业承担损失的事项或情况。</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在没有合同约定的情况下，企业或其子公司当期向该结构化主体提供了财务支持或其他支持，应当披露所提供支持的类型、金额及原因，包括帮助该结构化主体获得财务支持的情况。其中，企业或其子公司当期对以前未纳入合并财务报表范围的结构化主体提供了财务支持或其他支持并且该支持导致企业控制了该结构化主体的，还应当披露决定提供支持的相关</w:t>
      </w:r>
      <w:r>
        <w:rPr>
          <w:rFonts w:ascii="微软雅黑" w:eastAsia="微软雅黑" w:hAnsi="微软雅黑" w:cs="微软雅黑" w:hint="eastAsia"/>
          <w:color w:val="333333"/>
          <w:sz w:val="21"/>
          <w:szCs w:val="21"/>
          <w:shd w:val="clear" w:color="auto" w:fill="FFFFFF"/>
        </w:rPr>
        <w:t>因素。</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（三）企业存在向该结构化主体提供财务支持或其他支持的意图的，应当披露该意图，包括帮助该结构化主体获得财务支持的意图。</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第十一条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企业在其子公司所有者权益份额发生变化且该变化未导致企业丧失对子公司控制权的，应当在合并财务报表附注中披露该变化对本企业所有者权益的影响。</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企业丧失对子公司控制权的，应当在合并财务报表附注中披露按照《企业会计准则第</w:t>
      </w:r>
      <w:r>
        <w:rPr>
          <w:rFonts w:ascii="微软雅黑" w:eastAsia="微软雅黑" w:hAnsi="微软雅黑" w:cs="微软雅黑" w:hint="eastAsia"/>
          <w:color w:val="333333"/>
          <w:sz w:val="21"/>
          <w:szCs w:val="21"/>
          <w:shd w:val="clear" w:color="auto" w:fill="FFFFFF"/>
        </w:rPr>
        <w:t>33</w:t>
      </w:r>
      <w:r>
        <w:rPr>
          <w:rFonts w:ascii="微软雅黑" w:eastAsia="微软雅黑" w:hAnsi="微软雅黑" w:cs="微软雅黑" w:hint="eastAsia"/>
          <w:color w:val="333333"/>
          <w:sz w:val="21"/>
          <w:szCs w:val="21"/>
          <w:shd w:val="clear" w:color="auto" w:fill="FFFFFF"/>
        </w:rPr>
        <w:t>号——合并财务报表》计算的下列信息：</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（一）由于丧失控制权而产生的利得或损失以及相应的列报项目。</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（二）剩余股权在丧失控制权日按照公允价值重新计</w:t>
      </w:r>
      <w:r>
        <w:rPr>
          <w:rFonts w:ascii="微软雅黑" w:eastAsia="微软雅黑" w:hAnsi="微软雅黑" w:cs="微软雅黑" w:hint="eastAsia"/>
          <w:color w:val="333333"/>
          <w:sz w:val="21"/>
          <w:szCs w:val="21"/>
          <w:shd w:val="clear" w:color="auto" w:fill="FFFFFF"/>
        </w:rPr>
        <w:t>量而产生的利得或损失。</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第十二条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是投资性主体且存在未纳入合并财务报表范围的子公司、并对该子公司权益按照公允价值计量且其变动计入当期损益的，应当在财务报表附注中对该情况予以说明。同时，对于未纳入合并财务报表范围的子公司，企业应当披露下列信息：</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（一）子公司的名称、主要经营地及注册地。</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（二）企业对子公司的持股比例。持股比例不同于企业持有的表决权比例的，企业还应当披露该表决权比例。</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企业的子公司也是投资性主体且该子公司存在未纳入合并财务报表范围的下属子公司的，企业应当按照上述要求披露该下属子公</w:t>
      </w:r>
      <w:r>
        <w:rPr>
          <w:rFonts w:ascii="微软雅黑" w:eastAsia="微软雅黑" w:hAnsi="微软雅黑" w:cs="微软雅黑" w:hint="eastAsia"/>
          <w:color w:val="333333"/>
          <w:sz w:val="21"/>
          <w:szCs w:val="21"/>
          <w:shd w:val="clear" w:color="auto" w:fill="FFFFFF"/>
        </w:rPr>
        <w:t>司的相关信息。</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第十三条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企业是投资性主体的，对其在未纳入合并财务报表范围的子公司中的权益，应当披露与该权益相关的风险信息：</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（一）该未纳入合并财务报表范围的子公司以发放现金股利、归还贷款或垫款等形式向企业转移资金的能力存在重大限制的，企业应当披露该限制的性质和程度。</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（二）企业存在向未纳入合并财务报表范围的子公司提供财务支持或其他支持的承诺或意图的，企业应当披露该承诺或意图，包括帮助该子公司获得财务支持的承诺或意图。</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在没有合同约定的情况下，企业或其子公司当期向未纳入合并财务报表范围的子公司提</w:t>
      </w:r>
      <w:r>
        <w:rPr>
          <w:rFonts w:ascii="微软雅黑" w:eastAsia="微软雅黑" w:hAnsi="微软雅黑" w:cs="微软雅黑" w:hint="eastAsia"/>
          <w:color w:val="333333"/>
          <w:sz w:val="21"/>
          <w:szCs w:val="21"/>
          <w:shd w:val="clear" w:color="auto" w:fill="FFFFFF"/>
        </w:rPr>
        <w:t>供财务支持或其他支持的，企业应当披露提供支持的类型、金额及原因。</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（三）合同约定企业或其未纳入合并财务报表范围的子公司向未纳入合并财务报表范围、但受企业控制的结构化主体提供财务支持的，企业应当披露相关合同条款，以及可能导致企业承担损失的事项或情况。</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在没有合同约定的情况下，企业或其未纳入合并财务报表范围的子公司当期向原先不受企业控制且未纳入合并财务报表范围的结构化主体提供财务支持或其他支持，并且所提供的支持导致企业控制该结构化主体的，企业应当披露决定提供上述支持的相关因素。</w:t>
      </w:r>
    </w:p>
    <w:p w:rsidR="008744BF" w:rsidRDefault="00997CCA">
      <w:pPr>
        <w:pStyle w:val="a5"/>
        <w:widowControl/>
        <w:spacing w:beforeAutospacing="0" w:after="150" w:afterAutospacing="0" w:line="420" w:lineRule="atLeast"/>
        <w:jc w:val="center"/>
      </w:pPr>
      <w:r>
        <w:rPr>
          <w:rStyle w:val="a6"/>
          <w:rFonts w:ascii="微软雅黑" w:eastAsia="微软雅黑" w:hAnsi="微软雅黑" w:cs="微软雅黑" w:hint="eastAsia"/>
          <w:color w:val="333333"/>
          <w:sz w:val="21"/>
          <w:szCs w:val="21"/>
          <w:shd w:val="clear" w:color="auto" w:fill="FFFFFF"/>
        </w:rPr>
        <w:t>第四章</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在合营安排或联营企业</w:t>
      </w:r>
      <w:r>
        <w:rPr>
          <w:rStyle w:val="a6"/>
          <w:rFonts w:ascii="微软雅黑" w:eastAsia="微软雅黑" w:hAnsi="微软雅黑" w:cs="微软雅黑" w:hint="eastAsia"/>
          <w:color w:val="333333"/>
          <w:sz w:val="21"/>
          <w:szCs w:val="21"/>
          <w:shd w:val="clear" w:color="auto" w:fill="FFFFFF"/>
        </w:rPr>
        <w:t>中权益的披</w:t>
      </w:r>
      <w:r>
        <w:rPr>
          <w:rFonts w:ascii="微软雅黑" w:eastAsia="微软雅黑" w:hAnsi="微软雅黑" w:cs="微软雅黑" w:hint="eastAsia"/>
          <w:color w:val="333333"/>
          <w:sz w:val="21"/>
          <w:szCs w:val="21"/>
          <w:shd w:val="clear" w:color="auto" w:fill="FFFFFF"/>
        </w:rPr>
        <w:t>露</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第十四条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存在重要的合营安排或联营企业的，企业应当披露下列信息：</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（一）合营安排或联营企业的名称、主要经营地及注册地。</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（二）企业与合营安排或联营企业的关系的性质，包括合营安排或联营企业活动的性质，以及合营安排或联营企业对企业活动是否具有战略性等。</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（三）企业的持股比例。持股比例不同于企业持有的表决权比例的，企业还应当披露该表决权比例。</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第十五条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对于重要的合营企业或联营企业，企业除了应当按照本准则第十四条披露相关信息外，还应当披露对合营企业或联营企业投资的会计处理方法，从合营企业或联营企业收到的股利，以及合营企业或联营企业在其自身财务报表中的主要财务信息。</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企业对上述合营企业或联营企业投资采用权益法进行会计处理的，上述主要财务信息应当是按照权益法对合营企业或联营企业相关财务信息调整后的金额；同时，企业应当披露将上述主要财务信息按照权益法调整至企业对合营企业或联营企业投资账面价值的调节过程。</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lastRenderedPageBreak/>
        <w:t>企业对上述合营企业或联营企业投资采用权益法进行会计处理</w:t>
      </w:r>
      <w:r>
        <w:rPr>
          <w:rFonts w:ascii="微软雅黑" w:eastAsia="微软雅黑" w:hAnsi="微软雅黑" w:cs="微软雅黑" w:hint="eastAsia"/>
          <w:color w:val="333333"/>
          <w:sz w:val="21"/>
          <w:szCs w:val="21"/>
          <w:shd w:val="clear" w:color="auto" w:fill="FFFFFF"/>
        </w:rPr>
        <w:t>但该投资存在公开报价的，还应当披露其公允价值。</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第十六条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企业在单个合营企业或联营企业中的权益不重要的，应当分别就合营企业和联营企业两类披露下列信息：</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（一）按照权益法进行会计处理的对合营企业或联营企业投资的账面价值合计数。</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（二）对合营企业或联营企业的净利润、终止经营的净利润、其他综合收益、综合收益等项目，企业按照其持股比例计算的金额的合计数。</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第十七条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合营企业或联营企业以发放现金股利、归还贷款或垫款等形式向企业转移资金的能力存在重大限制的，企业应当披露该限制的性质和程度。</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第十八条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对合营企业或联营企业投资采用权益法进行会计处理，被投资方发生超额亏损且投资方不再确认其应分担合营企业或联营企业损失份额的，应当披露未确认的合营企业或联营企业损失份额，包括当期份额和累积份额。</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第十九条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企业应当单独披露与其对合营企业投资相关的未确认承诺，以及与其对合营企业或联营企业投资相关的或有负债。</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第二十条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企业是投资性主体的，不需要披露本准则第十五条和第十六条规定的信息。</w:t>
      </w:r>
    </w:p>
    <w:p w:rsidR="008744BF" w:rsidRDefault="00997CCA">
      <w:pPr>
        <w:pStyle w:val="a5"/>
        <w:widowControl/>
        <w:spacing w:beforeAutospacing="0" w:after="150" w:afterAutospacing="0" w:line="420" w:lineRule="atLeast"/>
        <w:jc w:val="center"/>
      </w:pPr>
      <w:r>
        <w:rPr>
          <w:rStyle w:val="a6"/>
          <w:rFonts w:ascii="微软雅黑" w:eastAsia="微软雅黑" w:hAnsi="微软雅黑" w:cs="微软雅黑" w:hint="eastAsia"/>
          <w:color w:val="333333"/>
          <w:sz w:val="21"/>
          <w:szCs w:val="21"/>
          <w:shd w:val="clear" w:color="auto" w:fill="FFFFFF"/>
        </w:rPr>
        <w:t>第五章</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在未纳入合并财务报表范围的结构化主体中权益的披露</w:t>
      </w:r>
      <w:r>
        <w:rPr>
          <w:rFonts w:ascii="微软雅黑" w:eastAsia="微软雅黑" w:hAnsi="微软雅黑" w:cs="微软雅黑" w:hint="eastAsia"/>
          <w:color w:val="333333"/>
          <w:sz w:val="21"/>
          <w:szCs w:val="21"/>
          <w:shd w:val="clear" w:color="auto" w:fill="FFFFFF"/>
        </w:rPr>
        <w:t> </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第二十一条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对于未纳入合并财务报表范围的结构化主体，</w:t>
      </w:r>
      <w:r>
        <w:rPr>
          <w:rFonts w:ascii="微软雅黑" w:eastAsia="微软雅黑" w:hAnsi="微软雅黑" w:cs="微软雅黑" w:hint="eastAsia"/>
          <w:color w:val="333333"/>
          <w:sz w:val="21"/>
          <w:szCs w:val="21"/>
          <w:shd w:val="clear" w:color="auto" w:fill="FFFFFF"/>
        </w:rPr>
        <w:t>企业应当披露下列信息：</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（一）未纳入合并财务报表范围的结构化主体的性质、目的、规模、活动及融资方式。</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（二）在财务报表中确认的与企业在未纳入合并财务报表范围的结构化主体中权益相关的资产和负债的账面价值及其在资产负债表中的列报项目。</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（三）在未纳入合并财务报表范围的结构化主体中权益的最大损失敞口及其确定方法。企业不能量化最大损失敞口的，应当披露这一事实及其原因。</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（四）在财务报表中确认的与企业在未纳入合并财务报表范围的结构化主体中权益相关的资产和负债的账面价值与其最大损失敞口的比较。</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企业发起</w:t>
      </w:r>
      <w:r>
        <w:rPr>
          <w:rFonts w:ascii="微软雅黑" w:eastAsia="微软雅黑" w:hAnsi="微软雅黑" w:cs="微软雅黑" w:hint="eastAsia"/>
          <w:color w:val="333333"/>
          <w:sz w:val="21"/>
          <w:szCs w:val="21"/>
          <w:shd w:val="clear" w:color="auto" w:fill="FFFFFF"/>
        </w:rPr>
        <w:t>设立未纳入合并财务报表范围的结构化主体，但资产负债表日在该结构化主体中没有权益的，企业不需要披露上述（二）至（四）项要求的信息，但应当披露企业作为该结构化主体发起人的认定依据，并分类披露企业当期从该结构化主体获得的收益、收益类型，以及转移至该结构化主体的所有资产在转移时的账面价值。</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第二十二条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应当披露其向未纳入合并财务报表范围的结构化主体提供财务支持或其他支持的意图，包括帮助该结构化主体获得财务支持的意图。在没有合同约定的情况下，企业当期向结构化主体（包括企业前期或当期持有权益的结构化主体）提供财</w:t>
      </w:r>
      <w:r>
        <w:rPr>
          <w:rFonts w:ascii="微软雅黑" w:eastAsia="微软雅黑" w:hAnsi="微软雅黑" w:cs="微软雅黑" w:hint="eastAsia"/>
          <w:color w:val="333333"/>
          <w:sz w:val="21"/>
          <w:szCs w:val="21"/>
          <w:shd w:val="clear" w:color="auto" w:fill="FFFFFF"/>
        </w:rPr>
        <w:t>务支持或其他支持的，还应当披露提供支持的类型、金额及原因，包括帮助该结构化主体获得财务支持的情况。</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第二十三条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企业是投资性主体的，对受其控制但未纳入合并财务报表范围的结构化主体，应当按照本准则第十二条和第十三条的规定进行披露，不需要按照本章规定进行披露。</w:t>
      </w:r>
    </w:p>
    <w:p w:rsidR="008744BF" w:rsidRDefault="00997CCA">
      <w:pPr>
        <w:pStyle w:val="a5"/>
        <w:widowControl/>
        <w:spacing w:beforeAutospacing="0" w:after="150" w:afterAutospacing="0" w:line="420" w:lineRule="atLeast"/>
        <w:jc w:val="center"/>
      </w:pPr>
      <w:r>
        <w:rPr>
          <w:rStyle w:val="a6"/>
          <w:rFonts w:ascii="微软雅黑" w:eastAsia="微软雅黑" w:hAnsi="微软雅黑" w:cs="微软雅黑" w:hint="eastAsia"/>
          <w:color w:val="333333"/>
          <w:sz w:val="21"/>
          <w:szCs w:val="21"/>
          <w:shd w:val="clear" w:color="auto" w:fill="FFFFFF"/>
        </w:rPr>
        <w:t>第六章</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衔接规定</w:t>
      </w:r>
      <w:r>
        <w:rPr>
          <w:rFonts w:ascii="微软雅黑" w:eastAsia="微软雅黑" w:hAnsi="微软雅黑" w:cs="微软雅黑" w:hint="eastAsia"/>
          <w:color w:val="333333"/>
          <w:sz w:val="21"/>
          <w:szCs w:val="21"/>
          <w:shd w:val="clear" w:color="auto" w:fill="FFFFFF"/>
        </w:rPr>
        <w:t> </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第二十四条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企业比较财务报表中披露的本准则施行日之前的信息与本准则要求不一致的，应当按照本准则的规定进行调整，但有关未纳入合并财务报表范围的结构化主体的披露要求除外。</w:t>
      </w:r>
    </w:p>
    <w:p w:rsidR="008744BF" w:rsidRDefault="00997CCA">
      <w:pPr>
        <w:pStyle w:val="a5"/>
        <w:widowControl/>
        <w:spacing w:beforeAutospacing="0" w:after="150" w:afterAutospacing="0" w:line="420" w:lineRule="atLeast"/>
        <w:jc w:val="center"/>
      </w:pPr>
      <w:r>
        <w:rPr>
          <w:rStyle w:val="a6"/>
          <w:rFonts w:ascii="微软雅黑" w:eastAsia="微软雅黑" w:hAnsi="微软雅黑" w:cs="微软雅黑" w:hint="eastAsia"/>
          <w:color w:val="333333"/>
          <w:sz w:val="21"/>
          <w:szCs w:val="21"/>
          <w:shd w:val="clear" w:color="auto" w:fill="FFFFFF"/>
        </w:rPr>
        <w:lastRenderedPageBreak/>
        <w:t>第七章</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附</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则</w:t>
      </w:r>
      <w:r>
        <w:rPr>
          <w:rFonts w:ascii="微软雅黑" w:eastAsia="微软雅黑" w:hAnsi="微软雅黑" w:cs="微软雅黑" w:hint="eastAsia"/>
          <w:color w:val="333333"/>
          <w:sz w:val="21"/>
          <w:szCs w:val="21"/>
          <w:shd w:val="clear" w:color="auto" w:fill="FFFFFF"/>
        </w:rPr>
        <w:t> </w:t>
      </w:r>
    </w:p>
    <w:p w:rsidR="008744BF" w:rsidRDefault="00997CCA">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第二十五条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本准则自</w:t>
      </w:r>
      <w:r>
        <w:rPr>
          <w:rFonts w:ascii="微软雅黑" w:eastAsia="微软雅黑" w:hAnsi="微软雅黑" w:cs="微软雅黑" w:hint="eastAsia"/>
          <w:color w:val="333333"/>
          <w:sz w:val="21"/>
          <w:szCs w:val="21"/>
          <w:shd w:val="clear" w:color="auto" w:fill="FFFFFF"/>
        </w:rPr>
        <w:t>2014</w:t>
      </w:r>
      <w:r>
        <w:rPr>
          <w:rFonts w:ascii="微软雅黑" w:eastAsia="微软雅黑" w:hAnsi="微软雅黑" w:cs="微软雅黑" w:hint="eastAsia"/>
          <w:color w:val="333333"/>
          <w:sz w:val="21"/>
          <w:szCs w:val="21"/>
          <w:shd w:val="clear" w:color="auto" w:fill="FFFFFF"/>
        </w:rPr>
        <w:t>年</w:t>
      </w:r>
      <w:r>
        <w:rPr>
          <w:rFonts w:ascii="微软雅黑" w:eastAsia="微软雅黑" w:hAnsi="微软雅黑" w:cs="微软雅黑" w:hint="eastAsia"/>
          <w:color w:val="333333"/>
          <w:sz w:val="21"/>
          <w:szCs w:val="21"/>
          <w:shd w:val="clear" w:color="auto" w:fill="FFFFFF"/>
        </w:rPr>
        <w:t>7</w:t>
      </w:r>
      <w:r>
        <w:rPr>
          <w:rFonts w:ascii="微软雅黑" w:eastAsia="微软雅黑" w:hAnsi="微软雅黑" w:cs="微软雅黑" w:hint="eastAsia"/>
          <w:color w:val="333333"/>
          <w:sz w:val="21"/>
          <w:szCs w:val="21"/>
          <w:shd w:val="clear" w:color="auto" w:fill="FFFFFF"/>
        </w:rPr>
        <w:t>月</w:t>
      </w:r>
      <w:r>
        <w:rPr>
          <w:rFonts w:ascii="微软雅黑" w:eastAsia="微软雅黑" w:hAnsi="微软雅黑" w:cs="微软雅黑" w:hint="eastAsia"/>
          <w:color w:val="333333"/>
          <w:sz w:val="21"/>
          <w:szCs w:val="21"/>
          <w:shd w:val="clear" w:color="auto" w:fill="FFFFFF"/>
        </w:rPr>
        <w:t>1</w:t>
      </w:r>
      <w:r>
        <w:rPr>
          <w:rFonts w:ascii="微软雅黑" w:eastAsia="微软雅黑" w:hAnsi="微软雅黑" w:cs="微软雅黑" w:hint="eastAsia"/>
          <w:color w:val="333333"/>
          <w:sz w:val="21"/>
          <w:szCs w:val="21"/>
          <w:shd w:val="clear" w:color="auto" w:fill="FFFFFF"/>
        </w:rPr>
        <w:t>日起施行。</w:t>
      </w:r>
    </w:p>
    <w:p w:rsidR="008744BF" w:rsidRDefault="008744BF"/>
    <w:sectPr w:rsidR="008744B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2E64C2"/>
    <w:rsid w:val="00561186"/>
    <w:rsid w:val="008744BF"/>
    <w:rsid w:val="00997CCA"/>
    <w:rsid w:val="00C301AA"/>
    <w:rsid w:val="5A8953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styleId="a6">
    <w:name w:val="Strong"/>
    <w:basedOn w:val="a0"/>
    <w:uiPriority w:val="22"/>
    <w:qFormat/>
    <w:rPr>
      <w:b/>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styleId="a6">
    <w:name w:val="Strong"/>
    <w:basedOn w:val="a0"/>
    <w:uiPriority w:val="22"/>
    <w:qFormat/>
    <w:rPr>
      <w:b/>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739</Words>
  <Characters>4218</Characters>
  <Application>Microsoft Office Word</Application>
  <DocSecurity>0</DocSecurity>
  <Lines>35</Lines>
  <Paragraphs>9</Paragraphs>
  <ScaleCrop>false</ScaleCrop>
  <Company/>
  <LinksUpToDate>false</LinksUpToDate>
  <CharactersWithSpaces>4948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苏云</dc:creator>
  <cp:lastModifiedBy>苏云</cp:lastModifiedBy>
  <cp:revision>3</cp:revision>
  <dcterms:created xsi:type="dcterms:W3CDTF">2022-03-17T06:05:00Z</dcterms:created>
  <dcterms:modified xsi:type="dcterms:W3CDTF">2022-03-21T07:52:00Z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6BAE4CBC27F0422DB435A337DB3BC58E</vt:lpwstr>
  </property>
</Properties>
</file>