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357" w:rsidRDefault="007C064F">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shd w:val="clear" w:color="auto" w:fill="FFFFFF"/>
        </w:rPr>
      </w:pPr>
      <w:r w:rsidRPr="007C064F">
        <w:rPr>
          <w:rFonts w:ascii="方正小标宋_GBK" w:eastAsia="方正小标宋_GBK" w:hAnsi="微软雅黑" w:cs="微软雅黑"/>
          <w:color w:val="333333"/>
          <w:shd w:val="clear" w:color="auto" w:fill="FFFFFF"/>
        </w:rPr>
        <w:t>企业会计准则第</w:t>
      </w:r>
      <w:r w:rsidRPr="007C064F">
        <w:rPr>
          <w:rFonts w:ascii="方正小标宋_GBK" w:eastAsia="方正小标宋_GBK" w:hAnsi="微软雅黑" w:cs="微软雅黑"/>
          <w:color w:val="333333"/>
          <w:shd w:val="clear" w:color="auto" w:fill="FFFFFF"/>
        </w:rPr>
        <w:t>39</w:t>
      </w:r>
      <w:r w:rsidRPr="007C064F">
        <w:rPr>
          <w:rFonts w:ascii="方正小标宋_GBK" w:eastAsia="方正小标宋_GBK" w:hAnsi="微软雅黑" w:cs="微软雅黑"/>
          <w:color w:val="333333"/>
          <w:shd w:val="clear" w:color="auto" w:fill="FFFFFF"/>
        </w:rPr>
        <w:t>号</w:t>
      </w:r>
      <w:r w:rsidRPr="007C064F">
        <w:rPr>
          <w:rFonts w:ascii="方正小标宋_GBK" w:eastAsia="方正小标宋_GBK" w:hAnsi="微软雅黑" w:cs="微软雅黑"/>
          <w:color w:val="333333"/>
          <w:shd w:val="clear" w:color="auto" w:fill="FFFFFF"/>
        </w:rPr>
        <w:t>--</w:t>
      </w:r>
      <w:r w:rsidRPr="007C064F">
        <w:rPr>
          <w:rFonts w:ascii="方正小标宋_GBK" w:eastAsia="方正小标宋_GBK" w:hAnsi="微软雅黑" w:cs="微软雅黑"/>
          <w:color w:val="333333"/>
          <w:shd w:val="clear" w:color="auto" w:fill="FFFFFF"/>
        </w:rPr>
        <w:t>公允价值计量</w:t>
      </w:r>
    </w:p>
    <w:p w:rsidR="007C064F" w:rsidRPr="007C064F" w:rsidRDefault="007C064F" w:rsidP="007C064F"/>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第一章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总则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为了规范公允价值的计量和披露，根据《企业会计准则——基本准则》，制定本准则。</w:t>
      </w:r>
      <w:bookmarkStart w:id="0" w:name="_GoBack"/>
      <w:bookmarkEnd w:id="0"/>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公允价值，是指市场参与者在计量日发生的有序交易中，出售一项资产所能收到或者转移一项负债所需支付的价格。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本准则适用于其他相关会计准则要求或者允许采用公允价值进行计量或披露的情形，本准则第四条和第五条所列情形除外。</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下列各项的计量和披露适用其他相关会计准则：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（一）与公允价值类似的其他计量属性的计量和披露，如《企业会计准则第</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号——存货》规范的可变现净值、《企业会计准则第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号——资产减值》规范的预计未来现金流量现值，分别适用《企业会计准则第</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号——存货》和《企业会计准则第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（二）股份支付业务相关的计量和披露，适用《企业会计准则第</w:t>
      </w:r>
      <w:r>
        <w:rPr>
          <w:rFonts w:ascii="微软雅黑" w:eastAsia="微软雅黑" w:hAnsi="微软雅黑" w:cs="微软雅黑" w:hint="eastAsia"/>
          <w:color w:val="333333"/>
          <w:sz w:val="21"/>
          <w:szCs w:val="21"/>
          <w:shd w:val="clear" w:color="auto" w:fill="FFFFFF"/>
        </w:rPr>
        <w:t>11</w:t>
      </w:r>
      <w:r>
        <w:rPr>
          <w:rFonts w:ascii="微软雅黑" w:eastAsia="微软雅黑" w:hAnsi="微软雅黑" w:cs="微软雅黑" w:hint="eastAsia"/>
          <w:color w:val="333333"/>
          <w:sz w:val="21"/>
          <w:szCs w:val="21"/>
          <w:shd w:val="clear" w:color="auto" w:fill="FFFFFF"/>
        </w:rPr>
        <w:t>号——股份支付》。</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（三）租赁业务相关的计量和披露，适用《企业会计准则第</w:t>
      </w:r>
      <w:r>
        <w:rPr>
          <w:rFonts w:ascii="微软雅黑" w:eastAsia="微软雅黑" w:hAnsi="微软雅黑" w:cs="微软雅黑" w:hint="eastAsia"/>
          <w:color w:val="333333"/>
          <w:sz w:val="21"/>
          <w:szCs w:val="21"/>
          <w:shd w:val="clear" w:color="auto" w:fill="FFFFFF"/>
        </w:rPr>
        <w:t>21</w:t>
      </w:r>
      <w:r>
        <w:rPr>
          <w:rFonts w:ascii="微软雅黑" w:eastAsia="微软雅黑" w:hAnsi="微软雅黑" w:cs="微软雅黑" w:hint="eastAsia"/>
          <w:color w:val="333333"/>
          <w:sz w:val="21"/>
          <w:szCs w:val="21"/>
          <w:shd w:val="clear" w:color="auto" w:fill="FFFFFF"/>
        </w:rPr>
        <w:t>号——租赁》。</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下列各项的披露适用其他相关会计准则：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（一）以公允价值减去处置费用后的净额确定可收回金额的资产</w:t>
      </w:r>
      <w:r>
        <w:rPr>
          <w:rFonts w:ascii="微软雅黑" w:eastAsia="微软雅黑" w:hAnsi="微软雅黑" w:cs="微软雅黑" w:hint="eastAsia"/>
          <w:color w:val="333333"/>
          <w:sz w:val="21"/>
          <w:szCs w:val="21"/>
          <w:shd w:val="clear" w:color="auto" w:fill="FFFFFF"/>
        </w:rPr>
        <w:t>的披露，适用《企业会计准则第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（二）以公允价值计量的职工离职后福利计划资产的披露，适用《企业会计准则第</w:t>
      </w:r>
      <w:r>
        <w:rPr>
          <w:rFonts w:ascii="微软雅黑" w:eastAsia="微软雅黑" w:hAnsi="微软雅黑" w:cs="微软雅黑" w:hint="eastAsia"/>
          <w:color w:val="333333"/>
          <w:sz w:val="21"/>
          <w:szCs w:val="21"/>
          <w:shd w:val="clear" w:color="auto" w:fill="FFFFFF"/>
        </w:rPr>
        <w:t>9</w:t>
      </w:r>
      <w:r>
        <w:rPr>
          <w:rFonts w:ascii="微软雅黑" w:eastAsia="微软雅黑" w:hAnsi="微软雅黑" w:cs="微软雅黑" w:hint="eastAsia"/>
          <w:color w:val="333333"/>
          <w:sz w:val="21"/>
          <w:szCs w:val="21"/>
          <w:shd w:val="clear" w:color="auto" w:fill="FFFFFF"/>
        </w:rPr>
        <w:t>号——职工薪酬》。</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（三）以公允价值计量的企业年金基金投资的披露，适用《企业会计准则第</w:t>
      </w:r>
      <w:r>
        <w:rPr>
          <w:rFonts w:ascii="微软雅黑" w:eastAsia="微软雅黑" w:hAnsi="微软雅黑" w:cs="微软雅黑" w:hint="eastAsia"/>
          <w:color w:val="333333"/>
          <w:sz w:val="21"/>
          <w:szCs w:val="21"/>
          <w:shd w:val="clear" w:color="auto" w:fill="FFFFFF"/>
        </w:rPr>
        <w:t>10</w:t>
      </w:r>
      <w:r>
        <w:rPr>
          <w:rFonts w:ascii="微软雅黑" w:eastAsia="微软雅黑" w:hAnsi="微软雅黑" w:cs="微软雅黑" w:hint="eastAsia"/>
          <w:color w:val="333333"/>
          <w:sz w:val="21"/>
          <w:szCs w:val="21"/>
          <w:shd w:val="clear" w:color="auto" w:fill="FFFFFF"/>
        </w:rPr>
        <w:t>号——企业年金基金》。</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相关资产或负债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企业以公允价值计量相关资产或负债，应当考虑该资产或负债的特征。</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相关资产或负债的特征，是指市场参与者在计量日对该资产或负债进行定价时考虑的特征，包括资产状况及所在位置、对资产出售或者使用的限制等。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以公允价值计量的</w:t>
      </w:r>
      <w:r>
        <w:rPr>
          <w:rFonts w:ascii="微软雅黑" w:eastAsia="微软雅黑" w:hAnsi="微软雅黑" w:cs="微软雅黑" w:hint="eastAsia"/>
          <w:color w:val="333333"/>
          <w:sz w:val="21"/>
          <w:szCs w:val="21"/>
          <w:shd w:val="clear" w:color="auto" w:fill="FFFFFF"/>
        </w:rPr>
        <w:t>相关资产或负债可以是单项资产或负债（如一项金融工具、一项非金融资产等），也可以是资产组合、负债组合或者资产和负债的组合（如《企业会计准则第</w:t>
      </w:r>
      <w:r>
        <w:rPr>
          <w:rFonts w:ascii="微软雅黑" w:eastAsia="微软雅黑" w:hAnsi="微软雅黑" w:cs="微软雅黑" w:hint="eastAsia"/>
          <w:color w:val="333333"/>
          <w:sz w:val="21"/>
          <w:szCs w:val="21"/>
          <w:shd w:val="clear" w:color="auto" w:fill="FFFFFF"/>
        </w:rPr>
        <w:t>8</w:t>
      </w:r>
      <w:r>
        <w:rPr>
          <w:rFonts w:ascii="微软雅黑" w:eastAsia="微软雅黑" w:hAnsi="微软雅黑" w:cs="微软雅黑" w:hint="eastAsia"/>
          <w:color w:val="333333"/>
          <w:sz w:val="21"/>
          <w:szCs w:val="21"/>
          <w:shd w:val="clear" w:color="auto" w:fill="FFFFFF"/>
        </w:rPr>
        <w:t>号——资产减值》规范的资产组、《企业会计准则第</w:t>
      </w:r>
      <w:r>
        <w:rPr>
          <w:rFonts w:ascii="微软雅黑" w:eastAsia="微软雅黑" w:hAnsi="微软雅黑" w:cs="微软雅黑" w:hint="eastAsia"/>
          <w:color w:val="333333"/>
          <w:sz w:val="21"/>
          <w:szCs w:val="21"/>
          <w:shd w:val="clear" w:color="auto" w:fill="FFFFFF"/>
        </w:rPr>
        <w:t>20</w:t>
      </w:r>
      <w:r>
        <w:rPr>
          <w:rFonts w:ascii="微软雅黑" w:eastAsia="微软雅黑" w:hAnsi="微软雅黑" w:cs="微软雅黑" w:hint="eastAsia"/>
          <w:color w:val="333333"/>
          <w:sz w:val="21"/>
          <w:szCs w:val="21"/>
          <w:shd w:val="clear" w:color="auto" w:fill="FFFFFF"/>
        </w:rPr>
        <w:t>号——企业合并》规范的业务等）。企业是以单项还是以组合的方式对相关资产或负债进行公允价值计量，取决于该资产或负债的计量单元。</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计量单元，是指相关资产或负债以单独或者组合方式进行计量的最小单位。相关资产或负债的计量单元应当由要求或者允许以公允价值计量的其他相关会计准则规定，但本准则第十章规范的市场风险或信用风险可抵销的</w:t>
      </w:r>
      <w:r>
        <w:rPr>
          <w:rFonts w:ascii="微软雅黑" w:eastAsia="微软雅黑" w:hAnsi="微软雅黑" w:cs="微软雅黑" w:hint="eastAsia"/>
          <w:color w:val="333333"/>
          <w:sz w:val="21"/>
          <w:szCs w:val="21"/>
          <w:shd w:val="clear" w:color="auto" w:fill="FFFFFF"/>
        </w:rPr>
        <w:t>金融资产和金融负债的公允价值计量除外。</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有序交易和市场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企业以公允价值计量相关资产或负债，应当假定市场参与者在计量日出售资产或者转移负债的交易，是在当前市场条件下的有序交易。</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有序交易，是指在计量日前一段时期内相关资产或负债具有惯常市场活动的交易。清算等被迫交易不属于有序交易。</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企业以公允价值计量相关资产或负债，应当假定出售资产或者转移负债的有序交易在相关资产或负债的主要市场进行。不存在主要市场的，企业应当假定该交易在相关资产或负债的最有利市场进行。</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主要市场，是指相</w:t>
      </w:r>
      <w:r>
        <w:rPr>
          <w:rFonts w:ascii="微软雅黑" w:eastAsia="微软雅黑" w:hAnsi="微软雅黑" w:cs="微软雅黑" w:hint="eastAsia"/>
          <w:color w:val="333333"/>
          <w:sz w:val="21"/>
          <w:szCs w:val="21"/>
          <w:shd w:val="clear" w:color="auto" w:fill="FFFFFF"/>
        </w:rPr>
        <w:t>关资产或负债交易量最大和交易活跃程度最高的市场。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最有利市场，是指在考虑交易费用和运输费用后，能够以最高金额出售相关资产或者以最低金额转移相关负债的市场。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交易费用，是指在相关资产或负债的主要市场（或最有利市场）中，发生的可直接归属于资产出售或者负债转移的费用。交易费用是直接由交易引起的、交易所必需的、而且不出售资产或者不转移负债就不会发生的费用。</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运输费用，是指将资产从当前位置运抵主要市场（或最有利市场）发生的费用。</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企业在识别主要市场（或最有利市场）时，应当考虑所有可合理取得的信息，但没有必要考察所有市场。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通常情况下，企业正常进行资产出售或者负债转移的市场可以视为主要市场（或最有利市场）。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主要市场（或最有利市场）应当是企业在计量日能够进入的交易市场，但不要求企业于计量日在该市场上实际出售资产或者转移负债。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由于不同企业可以进入的市场不同，对于不同企业，相同资产或负债可能具有不同的主要市场（或最有利市场）。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企业应当以主要市场的价格计量相关资产或负债的公允价值。不存在主要市场的，企</w:t>
      </w:r>
      <w:r>
        <w:rPr>
          <w:rFonts w:ascii="微软雅黑" w:eastAsia="微软雅黑" w:hAnsi="微软雅黑" w:cs="微软雅黑" w:hint="eastAsia"/>
          <w:color w:val="333333"/>
          <w:sz w:val="21"/>
          <w:szCs w:val="21"/>
          <w:shd w:val="clear" w:color="auto" w:fill="FFFFFF"/>
        </w:rPr>
        <w:t>业应当以最有利市场的价格计量相关资产或负债的公允价值。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企业不应当因交易费用对该价格进行调整。交易费用不属于相关资产或负债的特征，只与特定交易有关。交易费用不包括运输费用。</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相关资产所在的位置是该资产的特征，发生的运输费用能够使该资产从当前位置转移到主要市场（或最有利市场）的，企业应当根据使该资产从当前位置转移到主要市场（或最有利市场）的运输费用调整主要市场（或最有利市场）的价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当计量日不存在能够提供出售资产或者转移负债的相关价格信息的可观察市场时，企业应当从持有资产或者承担负债的</w:t>
      </w:r>
      <w:r>
        <w:rPr>
          <w:rFonts w:ascii="微软雅黑" w:eastAsia="微软雅黑" w:hAnsi="微软雅黑" w:cs="微软雅黑" w:hint="eastAsia"/>
          <w:color w:val="333333"/>
          <w:sz w:val="21"/>
          <w:szCs w:val="21"/>
          <w:shd w:val="clear" w:color="auto" w:fill="FFFFFF"/>
        </w:rPr>
        <w:t>市场参与者角度，假定计量日发生了出售资产或者转移负债的交易，并以该假定交易的价格为基础计量相关资产或负债的公允价值。</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第四章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市场参与者</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企业以公允价值计量相关资产或负债，应当采用市场参与者在对该资产或负债定价时为实现其经济利益最大化所使用的假设。</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市场参与者，是指在相关资产或负债的主要市场（或最有利市场）中，同时具备下列特征的买方和卖方：</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（一）市场参与者应当相互独立，不存在《企业会计准则第</w:t>
      </w:r>
      <w:r>
        <w:rPr>
          <w:rFonts w:ascii="微软雅黑" w:eastAsia="微软雅黑" w:hAnsi="微软雅黑" w:cs="微软雅黑" w:hint="eastAsia"/>
          <w:color w:val="333333"/>
          <w:sz w:val="21"/>
          <w:szCs w:val="21"/>
          <w:shd w:val="clear" w:color="auto" w:fill="FFFFFF"/>
        </w:rPr>
        <w:t>36</w:t>
      </w:r>
      <w:r>
        <w:rPr>
          <w:rFonts w:ascii="微软雅黑" w:eastAsia="微软雅黑" w:hAnsi="微软雅黑" w:cs="微软雅黑" w:hint="eastAsia"/>
          <w:color w:val="333333"/>
          <w:sz w:val="21"/>
          <w:szCs w:val="21"/>
          <w:shd w:val="clear" w:color="auto" w:fill="FFFFFF"/>
        </w:rPr>
        <w:t>号——关联方披露》所述的关联方关系；</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（二）市场参与者应当熟悉情况，能够根据可取得的信</w:t>
      </w:r>
      <w:r>
        <w:rPr>
          <w:rFonts w:ascii="微软雅黑" w:eastAsia="微软雅黑" w:hAnsi="微软雅黑" w:cs="微软雅黑" w:hint="eastAsia"/>
          <w:color w:val="333333"/>
          <w:sz w:val="21"/>
          <w:szCs w:val="21"/>
          <w:shd w:val="clear" w:color="auto" w:fill="FFFFFF"/>
        </w:rPr>
        <w:t>息对相关资产或负债以及交易具备合理认知；</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（三）市场参与者应当有能力并自愿进行相关资产或负债的交易。</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企业在确定市场参与者时，应当考虑所计量的相关资产或负债、该资产或负债的主要市场（或最有利市场）以及在该市场上与企业进行交易的市场参与者等因素，从总体上识别市场参与者。</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第五章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公允价值初始计量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企业应当根据交易性质和相关资产或负债的特征等，判断初始确认时的公允价值是否与其交易价格相等。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在企业取得资产或者承担负债的交易中，交易价格是取得该项资产所支付或者承担该项负债所收到</w:t>
      </w:r>
      <w:r>
        <w:rPr>
          <w:rFonts w:ascii="微软雅黑" w:eastAsia="微软雅黑" w:hAnsi="微软雅黑" w:cs="微软雅黑" w:hint="eastAsia"/>
          <w:color w:val="333333"/>
          <w:sz w:val="21"/>
          <w:szCs w:val="21"/>
          <w:shd w:val="clear" w:color="auto" w:fill="FFFFFF"/>
        </w:rPr>
        <w:t>的价格（即进入价格）。公允价值是出售该项资产所能收到或者转移该项负债所需支付的价格（即脱手价格）。相关资产或负债在初始确认时的公允价值通常与其交易价格相等，但在下列情况中两者可能不相等：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（一）交易发生在关联方之间。但企业有证据表明该关联方交易是在市场条件下进行的除外。</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（二）交易是被迫的。</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（三）交易价格所代表的计量单元与按照本准则第七条确定的计量单元不同。</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（四）交易市场不是相关资产或负债的主要市场（或最有利市场）。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其他相关会计准则要求或者允许企业以公允价值对相关资产或负</w:t>
      </w:r>
      <w:r>
        <w:rPr>
          <w:rFonts w:ascii="微软雅黑" w:eastAsia="微软雅黑" w:hAnsi="微软雅黑" w:cs="微软雅黑" w:hint="eastAsia"/>
          <w:color w:val="333333"/>
          <w:sz w:val="21"/>
          <w:szCs w:val="21"/>
          <w:shd w:val="clear" w:color="auto" w:fill="FFFFFF"/>
        </w:rPr>
        <w:t>债进行初始计量，且其交易价格与公允价值不相等的，企业应当将相关利得或损失计入当期损益，但其他相关会计准则另有规定的除外。</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第六章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估值技术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相关资产或负债，应当采用在当前情况下适用并且有足够可利用数据和其他信息支持的估值技术。企业使用估值技术的目的，是为了估计在计量日当前市场条件下，市场参与者在有序交易中出售一项资产或者转移一项负债的价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以公允价值计量相关资产或负债，使用的估值技术主要包括市场法、收益法和成本法。企业应当使用与其中一种或多种估值技术相一致的方法计量公允价值。企业使用多种估值技术计量公允价值的，应当考虑各估值结果的合理性，选取在当前情况下最能代表公允价值的金额作为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市场法，是利用相同或类似的资产、负债或资产和负债组合的价格以及其他相关市场交易信息进行估值的技术。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收益法，是将未来金额转换成单一现值的估值技术。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成本法，是反映当前要求重置相关资产服务能力所需金额（通常指现行重置成本）的估值技术。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 xml:space="preserve">　第十九条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企业在估值技术的应用中，应当优先使用相关可观察输入值，只有在相关可观察输入值无法取得或取得不切实可行的情况下，才可以使用不可观察输入值。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输入值，是指市场参与者在给相关资产或负债定价时所使用的假设，包括可观察输入值和不可观察输入值。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可观察输入值，是指能够从市场数据中取得的输入值。该输入值反映了市场参与者在对相关资产或负债定价时所使用的假设。</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不可观察输入值，是指不能从市场数据中取得的输入值。该输入值应当根据可获得的市场参与者在对相关资产或负债定价时所使用假设的最佳信息确定。</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第二十条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企业以交易价格作为初始确认时的公允价值，且在公允价值后续计量中使用了涉及不可观察输入值的估值技术的，应当在估值过程中校正该估值技术，以使估值技术确定的初始确认结果与交易价格相等。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企业在公允价值后续计量中使用估值技术的，尤其是涉及不可观察输入值的，应当确保该估值技术反映了计量日可观察的市场数据，如类似资产或负债的价格等。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公允价值计量使用的估值技术一经确定，不得随意变更，但变更估值技术或其应用能使计量结果在当前情况下同样或者更能代表公允价值的情况除外，包括但不限于下列情况：</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（一）出现新的市场。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（二）可以取得新的信息。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（三）无法再取得以前使用的信息。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（四）改进了估值技术。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（五）市场状况发生变化。</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企业变更估值技术或其应用的，应当按照《企业会计准则第</w:t>
      </w:r>
      <w:r>
        <w:rPr>
          <w:rFonts w:ascii="微软雅黑" w:eastAsia="微软雅黑" w:hAnsi="微软雅黑" w:cs="微软雅黑" w:hint="eastAsia"/>
          <w:color w:val="333333"/>
          <w:sz w:val="21"/>
          <w:szCs w:val="21"/>
          <w:shd w:val="clear" w:color="auto" w:fill="FFFFFF"/>
        </w:rPr>
        <w:t>28</w:t>
      </w:r>
      <w:r>
        <w:rPr>
          <w:rFonts w:ascii="微软雅黑" w:eastAsia="微软雅黑" w:hAnsi="微软雅黑" w:cs="微软雅黑" w:hint="eastAsia"/>
          <w:color w:val="333333"/>
          <w:sz w:val="21"/>
          <w:szCs w:val="21"/>
          <w:shd w:val="clear" w:color="auto" w:fill="FFFFFF"/>
        </w:rPr>
        <w:t>号——会计政策、会计估计变更和差错更正》的规定作为会计估计变更，并根据本准则的披露要求对估值技术及其应用的变更进行披露，而不需要按照《企业会计准则第</w:t>
      </w:r>
      <w:r>
        <w:rPr>
          <w:rFonts w:ascii="微软雅黑" w:eastAsia="微软雅黑" w:hAnsi="微软雅黑" w:cs="微软雅黑" w:hint="eastAsia"/>
          <w:color w:val="333333"/>
          <w:sz w:val="21"/>
          <w:szCs w:val="21"/>
          <w:shd w:val="clear" w:color="auto" w:fill="FFFFFF"/>
        </w:rPr>
        <w:t>28</w:t>
      </w:r>
      <w:r>
        <w:rPr>
          <w:rFonts w:ascii="微软雅黑" w:eastAsia="微软雅黑" w:hAnsi="微软雅黑" w:cs="微软雅黑" w:hint="eastAsia"/>
          <w:color w:val="333333"/>
          <w:sz w:val="21"/>
          <w:szCs w:val="21"/>
          <w:shd w:val="clear" w:color="auto" w:fill="FFFFFF"/>
        </w:rPr>
        <w:t>号——会计政策、会计估计变更和差错更正》的规定对相关会计估计变更进行披露。</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企业采用估值技术计量公允价值时，应当选择与市场参与者在</w:t>
      </w:r>
      <w:r>
        <w:rPr>
          <w:rFonts w:ascii="微软雅黑" w:eastAsia="微软雅黑" w:hAnsi="微软雅黑" w:cs="微软雅黑" w:hint="eastAsia"/>
          <w:color w:val="333333"/>
          <w:sz w:val="21"/>
          <w:szCs w:val="21"/>
          <w:shd w:val="clear" w:color="auto" w:fill="FFFFFF"/>
        </w:rPr>
        <w:t>相关资产或负债的交易中所考虑的资产或负债特征相一致的输入值，包括流动性折溢价、控制权溢价或少数股东权益折价等，但不包括与本准则第七条规定的计量单元不一致的折溢价。</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企业不应当考虑因其大量持有相关资产或负债所产生的折价或溢价。该折价或溢价反映了市场正常日交易量低于企业在当前市场出售或转让其持有的相关资产或负债数量时，市场参与者对该资产或负债报价的调整。</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以公允价值计量的相关资产或负债存在出价和要价的，企业应当以在出价和要价之间最能代表当前情况下公允价值的价格确定该资产或负债的公允价值。企业</w:t>
      </w:r>
      <w:r>
        <w:rPr>
          <w:rFonts w:ascii="微软雅黑" w:eastAsia="微软雅黑" w:hAnsi="微软雅黑" w:cs="微软雅黑" w:hint="eastAsia"/>
          <w:color w:val="333333"/>
          <w:sz w:val="21"/>
          <w:szCs w:val="21"/>
          <w:shd w:val="clear" w:color="auto" w:fill="FFFFFF"/>
        </w:rPr>
        <w:t>可以使用出价计量资产头寸、使用要价计量负债头寸。</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本准则不限制企业使用市场参与者在实务中使用的在出价和要价之间的中间价或其他定价惯例计量相关资产或负债。</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第七章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公允价值层次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企业应当将公允价值计量所使用的输入值划分为三个层次，并首先使用第一层次输入值，其次使用第二层次输入值，最后使用第三层次输入值。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第一层次输入值是在计量日能够取得的相同资产或负债在活跃市场上未经调整的报价。活跃市场，是指相关资产或负债的交易量和交易频率足以持续提供定价信息的市场。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第二层次输入值是除第一层次输</w:t>
      </w:r>
      <w:r>
        <w:rPr>
          <w:rFonts w:ascii="微软雅黑" w:eastAsia="微软雅黑" w:hAnsi="微软雅黑" w:cs="微软雅黑" w:hint="eastAsia"/>
          <w:color w:val="333333"/>
          <w:sz w:val="21"/>
          <w:szCs w:val="21"/>
          <w:shd w:val="clear" w:color="auto" w:fill="FFFFFF"/>
        </w:rPr>
        <w:t>入值外相关资产或负债直接或间接可观察的输入值。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第三层次输入值是相关资产或负债的不可观察输入值。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公允价值计量结果所属的层次，由对公允价值计量整体而言具有重要意义的输入值所属的最低层次决定。企业应当在考虑相关资产或负债特征的基础上判断所使用的输入值是否重要。公允价值计量结果所属的层次，取决于估值技术的输入值，而不是估值技术本身。</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第二十五条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第一层次输入值为公允价值提供了最可靠的证据。在所有情况下，企业只要能够获得相同资产或负债在活跃市场上的报价，就应当将该报价不加调整地应用于该资产或负债的公允价值计量，但下列情况除外：</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持有大量类似但不相同的以公允价值计量的资产或负债，这些资产或负债存在活跃市场报价，但难以获得每项资产或负债在计量日单独的定价信息。在这种情况下，企业可以采用不单纯依赖报价的其他估值模型。</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（二）活跃市场报价未能代表计量日的公允价值，如因发生影响公允价值计量的重大事件等导致活跃市场的报价未能代表计量日的公允价值</w:t>
      </w:r>
      <w:r>
        <w:rPr>
          <w:rFonts w:ascii="微软雅黑" w:eastAsia="微软雅黑" w:hAnsi="微软雅黑" w:cs="微软雅黑" w:hint="eastAsia"/>
          <w:color w:val="333333"/>
          <w:sz w:val="21"/>
          <w:szCs w:val="21"/>
          <w:shd w:val="clear" w:color="auto" w:fill="FFFFFF"/>
        </w:rPr>
        <w:t>。</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（三）本准则第三十四条（二）所述情况。</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企业因上述情况对相同资产或负债在活跃市场上的报价进行调整的，公允价值计量结果应当划分为较低层次。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使用第二层次输入值对相关资产或负债进行公允价值计量时，应当根据该资产或负债的特征，对第二层次输入值进行调整。这些特征包括资产状况或所在位置、输入值与类似资产或负债的相关程度（包括本准则第三十四条（二）规定的因素）、可观察输入值所在市场的交易量和活跃程度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对于具有合同期限等具体期限的相关资产或负债，第二层次输入值应当在几乎整个期限内</w:t>
      </w:r>
      <w:r>
        <w:rPr>
          <w:rFonts w:ascii="微软雅黑" w:eastAsia="微软雅黑" w:hAnsi="微软雅黑" w:cs="微软雅黑" w:hint="eastAsia"/>
          <w:color w:val="333333"/>
          <w:sz w:val="21"/>
          <w:szCs w:val="21"/>
          <w:shd w:val="clear" w:color="auto" w:fill="FFFFFF"/>
        </w:rPr>
        <w:t>是可观察的。</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第二层次输入值包括：</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（一）活跃市场中类似资产或负债的报价；</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（二）非活跃市场中相同或类似资产或负债的报价；</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（三）除报价以外的其他可观察输入值，包括在正常报价间隔期间可观察的利率和收益率曲线、隐含波动率和信用利差等；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（四）市场验证的输入值等。市场验证的输入值，是指通过相关性分析或其他手段获得的主要来源于可观察市场数据或者经过可观察市场数据验证的输入值。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企业使用重要的不可观察输入值对第二层次输入值进行调整，且该调整对公允价值计量整体而言是重要的，公允价值计量结果应当</w:t>
      </w:r>
      <w:r>
        <w:rPr>
          <w:rFonts w:ascii="微软雅黑" w:eastAsia="微软雅黑" w:hAnsi="微软雅黑" w:cs="微软雅黑" w:hint="eastAsia"/>
          <w:color w:val="333333"/>
          <w:sz w:val="21"/>
          <w:szCs w:val="21"/>
          <w:shd w:val="clear" w:color="auto" w:fill="FFFFFF"/>
        </w:rPr>
        <w:t>划分为第三层次。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企业只有在相关资产或负债不存在市场活动或者市场活动很少导致相关可观察输入值无法取得或取得不切实可行的情况下，才能使用第三层次输入值，即不可观察输入值。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不可观察输入值应当反映市场参与者对相关资产或负债定价时所使用的假设，包括有关风险的假设，如特定估值技术的固有风险和估值技术输入值的固有风险等。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企业在确定不可观察输入值时，应当使用在当前情况下可合理取得的最佳信息，包括所有可合理取得的市场参与者假设。</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可以使用内部数据作为不可观察输入值，但如果有证据表明其他市场参与者将使用不同于企业内部数据的其他数据，或者这些企业内部数据是企业特定数据、其他市场参与者不具备企业相关特征时，企业应当对其内部数据做出相应调整。</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第八章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非金融资产的公允价值计量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第二十九条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企业以公允价值计量非金融资产，应当考虑市场参与者将该资产用于最佳用途产生经济利益的能力，或者将该资产出售给能够用于最佳用途的其他市场参与者产生经济利益的能力。</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最佳用途，是指市场参与者实现一项非金融资产或其所属的资产和负债组合的价值最大化时</w:t>
      </w:r>
      <w:r>
        <w:rPr>
          <w:rFonts w:ascii="微软雅黑" w:eastAsia="微软雅黑" w:hAnsi="微软雅黑" w:cs="微软雅黑" w:hint="eastAsia"/>
          <w:color w:val="333333"/>
          <w:sz w:val="21"/>
          <w:szCs w:val="21"/>
          <w:shd w:val="clear" w:color="auto" w:fill="FFFFFF"/>
        </w:rPr>
        <w:t>该非金融资产的用途。</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企业确定非金融资产的最佳用途，应当考虑法律上是否允许、实物上是否可能以及财务上是否可行等因素。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（一）企业判断非金融资产的用途在法律上是否允许，应当考虑市场参与者在对该资产定价时考虑的资产使用在法律上的限制。</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（二）企业判断非金融资产的用途在实物上是否可能，应当考虑市场参与者在对该资产定价时考虑的资产实物特征。</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（三）企业判断非金融资产的用途在财务上是否可行，应当考虑在法律上允许且实物上可能的情况下，使用该资产能否产生足够的收益或现金流量，从而在补偿使资产用于</w:t>
      </w:r>
      <w:r>
        <w:rPr>
          <w:rFonts w:ascii="微软雅黑" w:eastAsia="微软雅黑" w:hAnsi="微软雅黑" w:cs="微软雅黑" w:hint="eastAsia"/>
          <w:color w:val="333333"/>
          <w:sz w:val="21"/>
          <w:szCs w:val="21"/>
          <w:shd w:val="clear" w:color="auto" w:fill="FFFFFF"/>
        </w:rPr>
        <w:t>该用途所发生的成本后，仍然能够满足市场参与者所要求的投资回报。</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企业应当从市场参与者的角度确定非金融资产的最佳用途。</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通常情况下，企业对非金融资产的现行用途可以视为最佳用途，除非市场因素或者其他因素表明市场参与者按照其他用途使用该资产可以实现价值最大化。</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企业以公允价值计量非金融资产，应当基于最佳用途确定下列估值前提：</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（一）市场参与者单独使用一项非金融资产产生最大价值的，该非金融资产的公允价值应当是将其出售给同样单独使用该资产的市场参与者的当前交易价格。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市场参与者将一项非金融资产与其他资产（或者其他资产或负债的组合）组合使用产生最大价值的，该非金融资产的公允价值应当是将其出售给以同样组合方式使用该资产的市场参与者的当前交易价格，并且该市场参与者可以取得组合中的其他资产和负债。其中，</w:t>
      </w:r>
      <w:r>
        <w:rPr>
          <w:rFonts w:ascii="微软雅黑" w:eastAsia="微软雅黑" w:hAnsi="微软雅黑" w:cs="微软雅黑" w:hint="eastAsia"/>
          <w:color w:val="333333"/>
          <w:sz w:val="21"/>
          <w:szCs w:val="21"/>
          <w:shd w:val="clear" w:color="auto" w:fill="FFFFFF"/>
        </w:rPr>
        <w:lastRenderedPageBreak/>
        <w:t>负债包括企业为筹集营运资金产生的负债，但不包括企业为组合之外的资产筹集资金所产生的负债。最佳用途的假定应当一致地应用于组合中所有与最佳用途相关的资产。</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企业应当从市场参与者的角度判断该资产的最佳用途是单独使用、与其他资产组合使用、还是与其他资产和负债组合使用，但在计</w:t>
      </w:r>
      <w:r>
        <w:rPr>
          <w:rFonts w:ascii="微软雅黑" w:eastAsia="微软雅黑" w:hAnsi="微软雅黑" w:cs="微软雅黑" w:hint="eastAsia"/>
          <w:color w:val="333333"/>
          <w:sz w:val="21"/>
          <w:szCs w:val="21"/>
          <w:shd w:val="clear" w:color="auto" w:fill="FFFFFF"/>
        </w:rPr>
        <w:t>量非金融资产的公允价值时，应当假定按照本准则第七条确定的计量单元出售该资产。</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第九章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负债和企业自身权益工具的公允价值计量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企业以公允价值计量负债，应当假定在计量日将该负债转移给其他市场参与者，而且该负债在转移后继续存在，并由作为受让方的市场参与者履行义务。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以公允价值计量自身权益工具，应当假定在计量日将该自身权益工具转移给其他市场参与者，而且该自身权益工具在转移后继续存在，并由作为受让方的市场参与者取得与该工具相关的权利、承担相应的义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企业以公允价值计量负债或自</w:t>
      </w:r>
      <w:r>
        <w:rPr>
          <w:rFonts w:ascii="微软雅黑" w:eastAsia="微软雅黑" w:hAnsi="微软雅黑" w:cs="微软雅黑" w:hint="eastAsia"/>
          <w:color w:val="333333"/>
          <w:sz w:val="21"/>
          <w:szCs w:val="21"/>
          <w:shd w:val="clear" w:color="auto" w:fill="FFFFFF"/>
        </w:rPr>
        <w:t>身权益工具，应当遵循下列原则：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（一）存在相同或类似负债或企业自身权益工具可观察市场报价的，应当以该报价为基础确定该负债或企业自身权益工具的公允价值。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不存在相同或类似负债或企业自身权益工具可观察市场报价，但其他方将其作为资产持有的，企业应当在计量日从持有该资产的市场参与者角度，以该资产的公允价值为基础确定该负债或自身权益工具的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当该资产的某些特征不适用于所计量的负债或企业自身权益工具时，企业应当根据该资产的公允价值进行调整，以调整后的价值确定负债或企业自身权益工具的公允价值。这</w:t>
      </w:r>
      <w:r>
        <w:rPr>
          <w:rFonts w:ascii="微软雅黑" w:eastAsia="微软雅黑" w:hAnsi="微软雅黑" w:cs="微软雅黑" w:hint="eastAsia"/>
          <w:color w:val="333333"/>
          <w:sz w:val="21"/>
          <w:szCs w:val="21"/>
          <w:shd w:val="clear" w:color="auto" w:fill="FFFFFF"/>
        </w:rPr>
        <w:t>些特</w:t>
      </w:r>
      <w:r>
        <w:rPr>
          <w:rFonts w:ascii="微软雅黑" w:eastAsia="微软雅黑" w:hAnsi="微软雅黑" w:cs="微软雅黑" w:hint="eastAsia"/>
          <w:color w:val="333333"/>
          <w:sz w:val="21"/>
          <w:szCs w:val="21"/>
          <w:shd w:val="clear" w:color="auto" w:fill="FFFFFF"/>
        </w:rPr>
        <w:lastRenderedPageBreak/>
        <w:t>征包括资产出售受到限制、资产与所计量负债或企业自身权益工具类似但不相同、资产的计量单元与负债或企业自身权益工具的计量单元不完全相同等。</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不存在相同或类似负债或企业自身权益工具可观察市场报价，并且其他方未将其作为资产持有的，企业应当从承担负债或者发行权益工具的市场参与者角度，采用估值技术确定该负债或企业自身权益工具的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企业以公允价值计量负债，应当考虑不履约风险，并假定不履约风险在负债转移前后保持不变。</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不履约风险，是指企业不履行义务的风险，包括但不限于企业自身信用风</w:t>
      </w:r>
      <w:r>
        <w:rPr>
          <w:rFonts w:ascii="微软雅黑" w:eastAsia="微软雅黑" w:hAnsi="微软雅黑" w:cs="微软雅黑" w:hint="eastAsia"/>
          <w:color w:val="333333"/>
          <w:sz w:val="21"/>
          <w:szCs w:val="21"/>
          <w:shd w:val="clear" w:color="auto" w:fill="FFFFFF"/>
        </w:rPr>
        <w:t>险。</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负债或自身权益工具，并且该负债或自身权益工具存在限制转移因素的，如果公允价值计量的输入值中已经考虑了该因素，企业不应当再单独设置相关输入值，也不应当对其他输入值进行相关调整。</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企业以公允价值计量活期存款等具有可随时要求偿还特征的金融负债的，该金融负债的公允价值不应当低于债权人随时要求偿还时的应付金额，即从债权人可要求偿还的第一天起折现的现值。</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第十章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市场风险或信用风险可抵销的</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金融资产和金融负债的公允价值计量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企业以市场风险或信用</w:t>
      </w:r>
      <w:r>
        <w:rPr>
          <w:rFonts w:ascii="微软雅黑" w:eastAsia="微软雅黑" w:hAnsi="微软雅黑" w:cs="微软雅黑" w:hint="eastAsia"/>
          <w:color w:val="333333"/>
          <w:sz w:val="21"/>
          <w:szCs w:val="21"/>
          <w:shd w:val="clear" w:color="auto" w:fill="FFFFFF"/>
        </w:rPr>
        <w:t>风险的净敞口为基础管理金融资产和金融负债的，可以以计量日市场参与者在当前市场条件下有序交易中出售净多头（即资产）或者转移净空头（即负债）的价格为基础，计量该金融资产和金融负债组合的公允价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市场风险或信用风险可抵销的金融资产或金融负债，应当是由《企业会计准则第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号——金融工具确认和计量》规范的金融资产和金融负债，也包括不符合金融资产或金融负债定义但按照《企业会计准则第</w:t>
      </w:r>
      <w:r>
        <w:rPr>
          <w:rFonts w:ascii="微软雅黑" w:eastAsia="微软雅黑" w:hAnsi="微软雅黑" w:cs="微软雅黑" w:hint="eastAsia"/>
          <w:color w:val="333333"/>
          <w:sz w:val="21"/>
          <w:szCs w:val="21"/>
          <w:shd w:val="clear" w:color="auto" w:fill="FFFFFF"/>
        </w:rPr>
        <w:t>22</w:t>
      </w:r>
      <w:r>
        <w:rPr>
          <w:rFonts w:ascii="微软雅黑" w:eastAsia="微软雅黑" w:hAnsi="微软雅黑" w:cs="微软雅黑" w:hint="eastAsia"/>
          <w:color w:val="333333"/>
          <w:sz w:val="21"/>
          <w:szCs w:val="21"/>
          <w:shd w:val="clear" w:color="auto" w:fill="FFFFFF"/>
        </w:rPr>
        <w:t>号——金融工具确认和计量》进行会计处理的其他合同。</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与市场风险或信用风险可抵销的金融资产和金融负债相关的财务报表列报，应当适用</w:t>
      </w:r>
      <w:r>
        <w:rPr>
          <w:rFonts w:ascii="微软雅黑" w:eastAsia="微软雅黑" w:hAnsi="微软雅黑" w:cs="微软雅黑" w:hint="eastAsia"/>
          <w:color w:val="333333"/>
          <w:sz w:val="21"/>
          <w:szCs w:val="21"/>
          <w:shd w:val="clear" w:color="auto" w:fill="FFFFFF"/>
        </w:rPr>
        <w:t>其他相关会计准则。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第三十九条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企业按照本准则第三十八条规定计量金融资产和金融负债组合的公允价值的，应当同时满足下列条件：</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（一）企业风险管理或投资策略的正式书面文件已载明，企业以特定市场风险或特定对手信用风险的净敞口为基础，管理金融资产和金融负债的组合；</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（二）企业以特定市场风险或特定对手信用风险的净敞口为基础，向企业关键管理人员报告金融资产和金融负债组合的信息；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（三）企业在每个资产负债表日以公允价值计量组合中的金融资产和金融负债。</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企业按照本准则第三十八条规定计量金融资产和金融负债组合的公允价值的，该金融资产和金融负债面临的特定市场风险及其期限实质上应当相同。</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企业按照本准则第三十八条规定计量金融资产和金融负债组合的公允价值的，如果市场参与者将会考虑假定出现违约情况下能够减小信用风险敞口的所有现行安排，企业应当考虑特定对手的信用风险净敞口的影响或特定对手对企业的信用风险净敞口的影响，并预计市场参与者依法强制执行这些安排的可能性。</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第四十一条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企业采用本准则第三十八条规定的，应当按照《企业会计准则第</w:t>
      </w:r>
      <w:r>
        <w:rPr>
          <w:rFonts w:ascii="微软雅黑" w:eastAsia="微软雅黑" w:hAnsi="微软雅黑" w:cs="微软雅黑" w:hint="eastAsia"/>
          <w:color w:val="333333"/>
          <w:sz w:val="21"/>
          <w:szCs w:val="21"/>
          <w:shd w:val="clear" w:color="auto" w:fill="FFFFFF"/>
        </w:rPr>
        <w:t>28</w:t>
      </w:r>
      <w:r>
        <w:rPr>
          <w:rFonts w:ascii="微软雅黑" w:eastAsia="微软雅黑" w:hAnsi="微软雅黑" w:cs="微软雅黑" w:hint="eastAsia"/>
          <w:color w:val="333333"/>
          <w:sz w:val="21"/>
          <w:szCs w:val="21"/>
          <w:shd w:val="clear" w:color="auto" w:fill="FFFFFF"/>
        </w:rPr>
        <w:t>号——会计政策、会计估计变</w:t>
      </w:r>
      <w:r>
        <w:rPr>
          <w:rFonts w:ascii="微软雅黑" w:eastAsia="微软雅黑" w:hAnsi="微软雅黑" w:cs="微软雅黑" w:hint="eastAsia"/>
          <w:color w:val="333333"/>
          <w:sz w:val="21"/>
          <w:szCs w:val="21"/>
          <w:shd w:val="clear" w:color="auto" w:fill="FFFFFF"/>
        </w:rPr>
        <w:t>更和差错更正》的规定确定相关会计政策，并且一经确定，不得随意变更。</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第十一章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公允价值披露</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企业应当根据相关资产或负债的性质、特征、风险以及公允价值计量的层次对该资产或负债进行恰当分组，并按照组别披露公允价值计量的相关信息。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为确定资产和负债的组别，企业通常应当对资产负债表列报项目做进一步分解。企业应当披露各组别与报表列报项目之间的调节信息。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其他相关会计准则明确规定了相关资产或负债组别且其分组原则符合本条规定的，企业可以直接使用该组别提供相关信息。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企业应当区分持续</w:t>
      </w:r>
      <w:r>
        <w:rPr>
          <w:rFonts w:ascii="微软雅黑" w:eastAsia="微软雅黑" w:hAnsi="微软雅黑" w:cs="微软雅黑" w:hint="eastAsia"/>
          <w:color w:val="333333"/>
          <w:sz w:val="21"/>
          <w:szCs w:val="21"/>
          <w:shd w:val="clear" w:color="auto" w:fill="FFFFFF"/>
        </w:rPr>
        <w:t>的公允价值计量和非持续的公允价值计量。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持续的公允价值计量，是指其他相关会计准则要求或者允许企业在每个资产负债表日持续以公允价值进行的计量。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非持续的公允价值计量，是指其他相关会计准则要求或者允许企业在特定情况下的资产负债表中以公允价值进行的计量。</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第四十四条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在相关资产或负债初始确认后的每个资产负债表日，企业至少应当在附注中披露持续以公允价值计量的每组资产和负债的下列信息：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（一）其他相关会计准则要求或者允许企业在资产负债表日持续以公允价值计量的项目和金额。</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（二）公允价值计量的层次。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（三）在各层次之间转换的金额和原因，以及确定各层次之间转换时点的政策。每一层次的转入与转出应当分别披露。</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（四）对于第二层次的公允价值计量，企业应当披露使用的估值技术和输入值的描述性信息。当变更估值技术时，企业还应当披露这一变更以及变更的原因。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对于第三层次的公允价值计量，企业应当披露使用的估值技术、输入值和估值流程的描述性信息。当变更估值技术时，企业还应当披露这一变更以及变更的原因。企业应当披露公允价值计量中使用的重要的、可合理取得的不可观察输入值的量化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（六）对于第三层次的</w:t>
      </w:r>
      <w:r>
        <w:rPr>
          <w:rFonts w:ascii="微软雅黑" w:eastAsia="微软雅黑" w:hAnsi="微软雅黑" w:cs="微软雅黑" w:hint="eastAsia"/>
          <w:color w:val="333333"/>
          <w:sz w:val="21"/>
          <w:szCs w:val="21"/>
          <w:shd w:val="clear" w:color="auto" w:fill="FFFFFF"/>
        </w:rPr>
        <w:t>公允价值计量，企业应当披露期初余额与期末余额之间的调节信息，包括计入当期损益的已实现利得或损失总额，以及确认这些利得或损失时的损益项目；计入当期损益的未实现利得或损失总额，以及确认这些未实现利得或损失时的损益项目（如相关资产或负债的公允价值变动损益等）；计入当期其他综合收益的利得或损失总额，以及确认这些利得或损失时的其他综合收益项目；分别披露相关资产或负债购买、出售、发行及结算情况。</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（七）对于第三层次的公允价值计量，当改变不可观察输入值的金额可能导致公允价值显著变化时，企业应当披露有关敏感性分析的描述</w:t>
      </w:r>
      <w:r>
        <w:rPr>
          <w:rFonts w:ascii="微软雅黑" w:eastAsia="微软雅黑" w:hAnsi="微软雅黑" w:cs="微软雅黑" w:hint="eastAsia"/>
          <w:color w:val="333333"/>
          <w:sz w:val="21"/>
          <w:szCs w:val="21"/>
          <w:shd w:val="clear" w:color="auto" w:fill="FFFFFF"/>
        </w:rPr>
        <w:t>性信息。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这些输入值和使用的其他不可观察输入值之间具有相关关系的，企业应当描述这种相关关系及其影响，其中不可观察输入值至少包括本条（五）要求披露的不可观察输入值。</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对于金融资产和金融负债，如果为反映合理、可能的其他假设而变更一个或多个不可观察输入值将导致公允价值的显著变化，企业还应当披露这一事实、变更的影响金额及其计算方法。</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lastRenderedPageBreak/>
        <w:t xml:space="preserve">　　（八）当非金融资产的最佳用途与其当前用途不同时，企业应当披露这一事实及其原因。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第四十五条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在相关资产或负债初始确认后的资产负债表中，企业至少应当在附注中披露非持续以公</w:t>
      </w:r>
      <w:r>
        <w:rPr>
          <w:rFonts w:ascii="微软雅黑" w:eastAsia="微软雅黑" w:hAnsi="微软雅黑" w:cs="微软雅黑" w:hint="eastAsia"/>
          <w:color w:val="333333"/>
          <w:sz w:val="21"/>
          <w:szCs w:val="21"/>
          <w:shd w:val="clear" w:color="auto" w:fill="FFFFFF"/>
        </w:rPr>
        <w:t>允价值计量的每组资产和负债的下列信息：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（一）其他相关会计准则要求或者允许企业在特定情况下非持续以公允价值计量的项目和金额，以及以公允价值计量的原因。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（二）公允价值计量的层次。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（三）对于第二层次的公允价值计量，企业应当披露使用的估值技术和输入值的描述性信息。当变更估值技术时，企业还应当披露这一变更以及变更的原因。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四）对于第三层次的公允价值计量，企业应当披露使用的估值技术、输入值和估值流程的描述性信息。当变更估值技术时，企业还应当披露这一变更以及变更的原因。企业应当披露公允价值计量中使用的重要的、可合理取得的不可观察输入值的量化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（五）当非金融资产的最佳用途与其当前用途不同时，企业应当披露这一事实及其原因。</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第四十六条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企业调整公允价值计量层次转换时点的相关会计政策应当在前后各会计期间保持一致，并按照本准则第四十四条（三）的规定进行披露。企业调整公允价值计量层次转换时点的相关会计政策应当一致地应用</w:t>
      </w:r>
      <w:r>
        <w:rPr>
          <w:rFonts w:ascii="微软雅黑" w:eastAsia="微软雅黑" w:hAnsi="微软雅黑" w:cs="微软雅黑" w:hint="eastAsia"/>
          <w:color w:val="333333"/>
          <w:sz w:val="21"/>
          <w:szCs w:val="21"/>
          <w:shd w:val="clear" w:color="auto" w:fill="FFFFFF"/>
        </w:rPr>
        <w:t>于转出的公允价值计量层次和转入的公允价值计量层次。</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第四十七条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企业采用本准则第三十八条规定的会计政策的，应当披露该事实。</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第四十八条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对于在资产负债表中不以公允价值计量但以公允价值披露的各组资产和负债，企业应当按照本准则第四十四条（二）、（四）、（五）和（八）披露信息，但不需要</w:t>
      </w:r>
      <w:r>
        <w:rPr>
          <w:rFonts w:ascii="微软雅黑" w:eastAsia="微软雅黑" w:hAnsi="微软雅黑" w:cs="微软雅黑" w:hint="eastAsia"/>
          <w:color w:val="333333"/>
          <w:sz w:val="21"/>
          <w:szCs w:val="21"/>
          <w:shd w:val="clear" w:color="auto" w:fill="FFFFFF"/>
        </w:rPr>
        <w:lastRenderedPageBreak/>
        <w:t>按照本准则第四十四条（五）披露第三层次公允价值计量的估值流程和使用的重要不可观察输入值的量化信息。</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第四十九条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对于以公允价值计量且在发行时附有不可分割的第三方信用增级的负债，发行人应当披露这一事实，并说明该信用增级是否</w:t>
      </w:r>
      <w:r>
        <w:rPr>
          <w:rFonts w:ascii="微软雅黑" w:eastAsia="微软雅黑" w:hAnsi="微软雅黑" w:cs="微软雅黑" w:hint="eastAsia"/>
          <w:color w:val="333333"/>
          <w:sz w:val="21"/>
          <w:szCs w:val="21"/>
          <w:shd w:val="clear" w:color="auto" w:fill="FFFFFF"/>
        </w:rPr>
        <w:t>已反映在该负债的公允价值计量中。</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企业应当以表格形式披露本准则要求的量化信息，除非其他形式更适当。</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第十二章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衔接规定</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第五十一条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本准则施行日之前的公允价值计量与本准则要求不一致的，企业不作追溯调整。</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第五十二条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比较财务报表中披露的本准则施行日之前的信息与本准则要求不一致的，企业不需要按照本准则的规定进行调整。</w:t>
      </w:r>
    </w:p>
    <w:p w:rsidR="00C56357" w:rsidRDefault="007C064F">
      <w:pPr>
        <w:pStyle w:val="a5"/>
        <w:widowControl/>
        <w:spacing w:beforeAutospacing="0" w:after="150" w:afterAutospacing="0" w:line="420" w:lineRule="atLeast"/>
        <w:jc w:val="center"/>
      </w:pPr>
      <w:r>
        <w:rPr>
          <w:rStyle w:val="a6"/>
          <w:rFonts w:ascii="微软雅黑" w:eastAsia="微软雅黑" w:hAnsi="微软雅黑" w:cs="微软雅黑" w:hint="eastAsia"/>
          <w:color w:val="333333"/>
          <w:sz w:val="21"/>
          <w:szCs w:val="21"/>
          <w:shd w:val="clear" w:color="auto" w:fill="FFFFFF"/>
        </w:rPr>
        <w:t>第十三章</w:t>
      </w:r>
      <w:r>
        <w:rPr>
          <w:rStyle w:val="a6"/>
          <w:rFonts w:ascii="微软雅黑" w:eastAsia="微软雅黑" w:hAnsi="微软雅黑" w:cs="微软雅黑" w:hint="eastAsia"/>
          <w:color w:val="333333"/>
          <w:sz w:val="21"/>
          <w:szCs w:val="21"/>
          <w:shd w:val="clear" w:color="auto" w:fill="FFFFFF"/>
        </w:rPr>
        <w:t xml:space="preserve"> </w:t>
      </w:r>
      <w:r>
        <w:rPr>
          <w:rStyle w:val="a6"/>
          <w:rFonts w:ascii="微软雅黑" w:eastAsia="微软雅黑" w:hAnsi="微软雅黑" w:cs="微软雅黑" w:hint="eastAsia"/>
          <w:color w:val="333333"/>
          <w:sz w:val="21"/>
          <w:szCs w:val="21"/>
          <w:shd w:val="clear" w:color="auto" w:fill="FFFFFF"/>
        </w:rPr>
        <w:t>附则</w:t>
      </w:r>
    </w:p>
    <w:p w:rsidR="00C56357" w:rsidRDefault="007C064F">
      <w:pPr>
        <w:pStyle w:val="a5"/>
        <w:widowControl/>
        <w:spacing w:beforeAutospacing="0" w:after="150" w:afterAutospacing="0" w:line="420" w:lineRule="atLeast"/>
        <w:jc w:val="both"/>
      </w:pPr>
      <w:r>
        <w:rPr>
          <w:rFonts w:ascii="微软雅黑" w:eastAsia="微软雅黑" w:hAnsi="微软雅黑" w:cs="微软雅黑" w:hint="eastAsia"/>
          <w:color w:val="333333"/>
          <w:sz w:val="21"/>
          <w:szCs w:val="21"/>
          <w:shd w:val="clear" w:color="auto" w:fill="FFFFFF"/>
        </w:rPr>
        <w:t xml:space="preserve">　　第五十三条</w:t>
      </w:r>
      <w:r>
        <w:rPr>
          <w:rFonts w:ascii="微软雅黑" w:eastAsia="微软雅黑" w:hAnsi="微软雅黑" w:cs="微软雅黑" w:hint="eastAsia"/>
          <w:color w:val="333333"/>
          <w:sz w:val="21"/>
          <w:szCs w:val="21"/>
          <w:shd w:val="clear" w:color="auto" w:fill="FFFFFF"/>
        </w:rPr>
        <w:t xml:space="preserve"> </w:t>
      </w:r>
      <w:r>
        <w:rPr>
          <w:rFonts w:ascii="微软雅黑" w:eastAsia="微软雅黑" w:hAnsi="微软雅黑" w:cs="微软雅黑" w:hint="eastAsia"/>
          <w:color w:val="333333"/>
          <w:sz w:val="21"/>
          <w:szCs w:val="21"/>
          <w:shd w:val="clear" w:color="auto" w:fill="FFFFFF"/>
        </w:rPr>
        <w:t>本准则自</w:t>
      </w:r>
      <w:r>
        <w:rPr>
          <w:rFonts w:ascii="微软雅黑" w:eastAsia="微软雅黑" w:hAnsi="微软雅黑" w:cs="微软雅黑" w:hint="eastAsia"/>
          <w:color w:val="333333"/>
          <w:sz w:val="21"/>
          <w:szCs w:val="21"/>
          <w:shd w:val="clear" w:color="auto" w:fill="FFFFFF"/>
        </w:rPr>
        <w:t>2014</w:t>
      </w:r>
      <w:r>
        <w:rPr>
          <w:rFonts w:ascii="微软雅黑" w:eastAsia="微软雅黑" w:hAnsi="微软雅黑" w:cs="微软雅黑" w:hint="eastAsia"/>
          <w:color w:val="333333"/>
          <w:sz w:val="21"/>
          <w:szCs w:val="21"/>
          <w:shd w:val="clear" w:color="auto" w:fill="FFFFFF"/>
        </w:rPr>
        <w:t>年</w:t>
      </w:r>
      <w:r>
        <w:rPr>
          <w:rFonts w:ascii="微软雅黑" w:eastAsia="微软雅黑" w:hAnsi="微软雅黑" w:cs="微软雅黑" w:hint="eastAsia"/>
          <w:color w:val="333333"/>
          <w:sz w:val="21"/>
          <w:szCs w:val="21"/>
          <w:shd w:val="clear" w:color="auto" w:fill="FFFFFF"/>
        </w:rPr>
        <w:t>7</w:t>
      </w:r>
      <w:r>
        <w:rPr>
          <w:rFonts w:ascii="微软雅黑" w:eastAsia="微软雅黑" w:hAnsi="微软雅黑" w:cs="微软雅黑" w:hint="eastAsia"/>
          <w:color w:val="333333"/>
          <w:sz w:val="21"/>
          <w:szCs w:val="21"/>
          <w:shd w:val="clear" w:color="auto" w:fill="FFFFFF"/>
        </w:rPr>
        <w:t>月</w:t>
      </w:r>
      <w:r>
        <w:rPr>
          <w:rFonts w:ascii="微软雅黑" w:eastAsia="微软雅黑" w:hAnsi="微软雅黑" w:cs="微软雅黑" w:hint="eastAsia"/>
          <w:color w:val="333333"/>
          <w:sz w:val="21"/>
          <w:szCs w:val="21"/>
          <w:shd w:val="clear" w:color="auto" w:fill="FFFFFF"/>
        </w:rPr>
        <w:t>1</w:t>
      </w:r>
      <w:r>
        <w:rPr>
          <w:rFonts w:ascii="微软雅黑" w:eastAsia="微软雅黑" w:hAnsi="微软雅黑" w:cs="微软雅黑" w:hint="eastAsia"/>
          <w:color w:val="333333"/>
          <w:sz w:val="21"/>
          <w:szCs w:val="21"/>
          <w:shd w:val="clear" w:color="auto" w:fill="FFFFFF"/>
        </w:rPr>
        <w:t>日起施行。</w:t>
      </w:r>
    </w:p>
    <w:p w:rsidR="00C56357" w:rsidRDefault="00C56357"/>
    <w:sectPr w:rsidR="00C563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7C064F"/>
    <w:rsid w:val="00C301AA"/>
    <w:rsid w:val="00C56357"/>
    <w:rsid w:val="2DDA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styleId="a6">
    <w:name w:val="Strong"/>
    <w:basedOn w:val="a0"/>
    <w:uiPriority w:val="22"/>
    <w:qFormat/>
    <w:rPr>
      <w:b/>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1581</Words>
  <Characters>9016</Characters>
  <Application>Microsoft Office Word</Application>
  <DocSecurity>0</DocSecurity>
  <Lines>75</Lines>
  <Paragraphs>21</Paragraphs>
  <ScaleCrop>false</ScaleCrop>
  <Company/>
  <LinksUpToDate>false</LinksUpToDate>
  <CharactersWithSpaces>10576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F4204E97DDFB43C68E58F702696B0273</vt:lpwstr>
  </property>
</Properties>
</file>