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D4" w:rsidRPr="00B760D0" w:rsidRDefault="00B760D0">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B760D0">
        <w:rPr>
          <w:rFonts w:ascii="方正小标宋_GBK" w:eastAsia="方正小标宋_GBK" w:hAnsi="微软雅黑" w:cs="微软雅黑"/>
          <w:color w:val="333333"/>
          <w:shd w:val="clear" w:color="auto" w:fill="FFFFFF"/>
        </w:rPr>
        <w:t>企业会计准则第</w:t>
      </w:r>
      <w:r w:rsidRPr="00B760D0">
        <w:rPr>
          <w:rFonts w:ascii="方正小标宋_GBK" w:eastAsia="方正小标宋_GBK" w:hAnsi="微软雅黑" w:cs="微软雅黑"/>
          <w:color w:val="333333"/>
          <w:shd w:val="clear" w:color="auto" w:fill="FFFFFF"/>
        </w:rPr>
        <w:t>2</w:t>
      </w:r>
      <w:r w:rsidRPr="00B760D0">
        <w:rPr>
          <w:rFonts w:ascii="方正小标宋_GBK" w:eastAsia="方正小标宋_GBK" w:hAnsi="微软雅黑" w:cs="微软雅黑"/>
          <w:color w:val="333333"/>
          <w:shd w:val="clear" w:color="auto" w:fill="FFFFFF"/>
        </w:rPr>
        <w:t>号——长期股权投资</w:t>
      </w:r>
    </w:p>
    <w:p w:rsidR="00CB2ED4" w:rsidRDefault="00CB2ED4">
      <w:pPr>
        <w:pStyle w:val="a5"/>
        <w:widowControl/>
        <w:spacing w:beforeAutospacing="0" w:after="150" w:afterAutospacing="0" w:line="23" w:lineRule="atLeast"/>
        <w:jc w:val="center"/>
        <w:rPr>
          <w:rFonts w:ascii="宋体" w:eastAsia="宋体" w:hAnsi="宋体" w:cs="宋体"/>
          <w:szCs w:val="24"/>
        </w:rPr>
      </w:pPr>
    </w:p>
    <w:p w:rsidR="00CB2ED4" w:rsidRDefault="00B760D0">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b/>
          <w:bCs/>
          <w:color w:val="333333"/>
          <w:szCs w:val="24"/>
          <w:shd w:val="clear" w:color="auto" w:fill="FFFFFF"/>
        </w:rPr>
        <w:t> </w:t>
      </w:r>
      <w:bookmarkStart w:id="0" w:name="_GoBack"/>
      <w:bookmarkEnd w:id="0"/>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为了规范长期股权投资的确认、计量，根据《企业会计准则——基本准则》，制定本准则。</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本准则所称长期股权投资，是指投资方对被投资单位实施控制、重大影响的权益性投资，以及对其合营企业的权益性投资。</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在确定能否对被投资单位实施控制时，投资方应当按照《企业会计准则第</w:t>
      </w:r>
      <w:r>
        <w:rPr>
          <w:rFonts w:ascii="宋体" w:eastAsia="宋体" w:hAnsi="宋体" w:cs="宋体" w:hint="eastAsia"/>
          <w:color w:val="333333"/>
          <w:szCs w:val="24"/>
          <w:shd w:val="clear" w:color="auto" w:fill="FFFFFF"/>
        </w:rPr>
        <w:t>33</w:t>
      </w:r>
      <w:r>
        <w:rPr>
          <w:rFonts w:ascii="宋体" w:eastAsia="宋体" w:hAnsi="宋体" w:cs="宋体" w:hint="eastAsia"/>
          <w:color w:val="333333"/>
          <w:szCs w:val="24"/>
          <w:shd w:val="clear" w:color="auto" w:fill="FFFFFF"/>
        </w:rPr>
        <w:t>号——合并财务报表》的有关规定进行判断。投资方能够对被投资单位实施控制的，被投资单位为其子公司。投资方属于《企业会计准则第</w:t>
      </w:r>
      <w:r>
        <w:rPr>
          <w:rFonts w:ascii="宋体" w:eastAsia="宋体" w:hAnsi="宋体" w:cs="宋体" w:hint="eastAsia"/>
          <w:color w:val="333333"/>
          <w:szCs w:val="24"/>
          <w:shd w:val="clear" w:color="auto" w:fill="FFFFFF"/>
        </w:rPr>
        <w:t>33</w:t>
      </w:r>
      <w:r>
        <w:rPr>
          <w:rFonts w:ascii="宋体" w:eastAsia="宋体" w:hAnsi="宋体" w:cs="宋体" w:hint="eastAsia"/>
          <w:color w:val="333333"/>
          <w:szCs w:val="24"/>
          <w:shd w:val="clear" w:color="auto" w:fill="FFFFFF"/>
        </w:rPr>
        <w:t>号——合并财务报表》规定的投资性主体且子公司不纳入合并财务报表的情况除外。</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重大影响，是指投资方对被投资单位的财务和经营政策有参与决策的权力，但并不能够控制或者与其他方一起共同控制这些政策的制定。在确定能否对被投资单位施加重大影响时，应当考虑投资方和其他方持有的被投资单位当期可转换公司债券、当期可执行认股权证</w:t>
      </w:r>
      <w:r>
        <w:rPr>
          <w:rFonts w:ascii="宋体" w:eastAsia="宋体" w:hAnsi="宋体" w:cs="宋体" w:hint="eastAsia"/>
          <w:color w:val="333333"/>
          <w:szCs w:val="24"/>
          <w:shd w:val="clear" w:color="auto" w:fill="FFFFFF"/>
        </w:rPr>
        <w:t>等潜在表决权因素。投资方能够对被投资单位施加重大影响的，被投资单位为其联营企业。</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在确定被投资单位是否为合营企业时，应当按照《企业会计准则第</w:t>
      </w:r>
      <w:r>
        <w:rPr>
          <w:rFonts w:ascii="宋体" w:eastAsia="宋体" w:hAnsi="宋体" w:cs="宋体" w:hint="eastAsia"/>
          <w:color w:val="333333"/>
          <w:szCs w:val="24"/>
          <w:shd w:val="clear" w:color="auto" w:fill="FFFFFF"/>
        </w:rPr>
        <w:t>40</w:t>
      </w:r>
      <w:r>
        <w:rPr>
          <w:rFonts w:ascii="宋体" w:eastAsia="宋体" w:hAnsi="宋体" w:cs="宋体" w:hint="eastAsia"/>
          <w:color w:val="333333"/>
          <w:szCs w:val="24"/>
          <w:shd w:val="clear" w:color="auto" w:fill="FFFFFF"/>
        </w:rPr>
        <w:t>号——合营安排》的有关规定进行判断。</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下列各项适用其他相关会计准则：</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（一）外币长期股权投资的折算，适用《企业会计准则第</w:t>
      </w:r>
      <w:r>
        <w:rPr>
          <w:rFonts w:ascii="宋体" w:eastAsia="宋体" w:hAnsi="宋体" w:cs="宋体" w:hint="eastAsia"/>
          <w:color w:val="333333"/>
          <w:szCs w:val="24"/>
          <w:shd w:val="clear" w:color="auto" w:fill="FFFFFF"/>
        </w:rPr>
        <w:t>19</w:t>
      </w:r>
      <w:r>
        <w:rPr>
          <w:rFonts w:ascii="宋体" w:eastAsia="宋体" w:hAnsi="宋体" w:cs="宋体" w:hint="eastAsia"/>
          <w:color w:val="333333"/>
          <w:szCs w:val="24"/>
          <w:shd w:val="clear" w:color="auto" w:fill="FFFFFF"/>
        </w:rPr>
        <w:t>号——外币折算》。</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（二）风险投资机构、共同基金以及类似主体持有的、在初始确认时按照《企业会计准则第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号——金融工具确认和计量》的规定以公允价值计量且其变动计入当期损益的金融资产，投资性主体对不纳入合并财务报表的子公</w:t>
      </w:r>
      <w:r>
        <w:rPr>
          <w:rFonts w:ascii="宋体" w:eastAsia="宋体" w:hAnsi="宋体" w:cs="宋体" w:hint="eastAsia"/>
          <w:color w:val="333333"/>
          <w:szCs w:val="24"/>
          <w:shd w:val="clear" w:color="auto" w:fill="FFFFFF"/>
        </w:rPr>
        <w:t>司的权益性投资，以及本准则未予规范的其他权益性投资，适用《企业会计准则第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长期股权投资的披露，适用《企业会计准则第</w:t>
      </w:r>
      <w:r>
        <w:rPr>
          <w:rFonts w:ascii="宋体" w:eastAsia="宋体" w:hAnsi="宋体" w:cs="宋体" w:hint="eastAsia"/>
          <w:color w:val="333333"/>
          <w:szCs w:val="24"/>
          <w:shd w:val="clear" w:color="auto" w:fill="FFFFFF"/>
        </w:rPr>
        <w:t>41</w:t>
      </w:r>
      <w:r>
        <w:rPr>
          <w:rFonts w:ascii="宋体" w:eastAsia="宋体" w:hAnsi="宋体" w:cs="宋体" w:hint="eastAsia"/>
          <w:color w:val="333333"/>
          <w:szCs w:val="24"/>
          <w:shd w:val="clear" w:color="auto" w:fill="FFFFFF"/>
        </w:rPr>
        <w:t>号——在其他主体中权益的披露》。</w:t>
      </w:r>
    </w:p>
    <w:p w:rsidR="00CB2ED4" w:rsidRDefault="00B760D0">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w:t>
      </w:r>
    </w:p>
    <w:p w:rsidR="00CB2ED4" w:rsidRDefault="00B760D0">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初始计量</w:t>
      </w:r>
      <w:r>
        <w:rPr>
          <w:rFonts w:ascii="宋体" w:eastAsia="宋体" w:hAnsi="宋体" w:cs="宋体" w:hint="eastAsia"/>
          <w:b/>
          <w:bCs/>
          <w:color w:val="333333"/>
          <w:szCs w:val="24"/>
          <w:shd w:val="clear" w:color="auto" w:fill="FFFFFF"/>
        </w:rPr>
        <w:t> </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企业合并形成的长期股权投资，应当按照下列规定确定其初始投资成本：</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同一控制下的企业合并，合并方以支付现金、转让非现金资产或承担债务方式作为合并对价的，应当在合并日按照被合并方所有者权益在最终控制方合并财务报表中的账面价值的份额作为长期股权投资的初始投资成本。长期股权</w:t>
      </w:r>
      <w:r>
        <w:rPr>
          <w:rFonts w:ascii="宋体" w:eastAsia="宋体" w:hAnsi="宋体" w:cs="宋体" w:hint="eastAsia"/>
          <w:color w:val="333333"/>
          <w:szCs w:val="24"/>
          <w:shd w:val="clear" w:color="auto" w:fill="FFFFFF"/>
        </w:rPr>
        <w:lastRenderedPageBreak/>
        <w:t>投资初始投资成本与支付的现金、转让的非现金资产以及所承担债务账面价值之间的差额，应当调整资本公积；资本公积不足冲减的，调整留存收益。</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并方以发行权益性证券作为合并对价的，应当在合并日按照被合并方所有者权益在最终控制方合并财务报表中的账面价值的份额作为长期股权投资的初始投资成本。按照发行股份的面值总额作为股本，长期股权投资初始投资成本与所发行股份面值总额之间的差额，应当调整资本公积；资本公积不足冲减的，调整留存收益。</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（二）非同一控制下的企业合并，购买方在购买日应当按照《企业会计准则第</w:t>
      </w:r>
      <w:r>
        <w:rPr>
          <w:rFonts w:ascii="宋体" w:eastAsia="宋体" w:hAnsi="宋体" w:cs="宋体" w:hint="eastAsia"/>
          <w:color w:val="333333"/>
          <w:szCs w:val="24"/>
          <w:shd w:val="clear" w:color="auto" w:fill="FFFFFF"/>
        </w:rPr>
        <w:t>20</w:t>
      </w:r>
      <w:r>
        <w:rPr>
          <w:rFonts w:ascii="宋体" w:eastAsia="宋体" w:hAnsi="宋体" w:cs="宋体" w:hint="eastAsia"/>
          <w:color w:val="333333"/>
          <w:szCs w:val="24"/>
          <w:shd w:val="clear" w:color="auto" w:fill="FFFFFF"/>
        </w:rPr>
        <w:t>号——企业</w:t>
      </w:r>
      <w:r>
        <w:rPr>
          <w:rFonts w:ascii="宋体" w:eastAsia="宋体" w:hAnsi="宋体" w:cs="宋体" w:hint="eastAsia"/>
          <w:color w:val="333333"/>
          <w:szCs w:val="24"/>
          <w:shd w:val="clear" w:color="auto" w:fill="FFFFFF"/>
        </w:rPr>
        <w:t>合并》的有关规定确定的合并成本作为长期股权投资的初始投资成本。</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合并方或购买方为企业合并发生的审计、法律服务、评估咨询等中介费用以及其他相关管理费用，应当于发生时计入当期损益。</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除企业合并形成的长期股权投资以外，其他方式取得的长期股权投资，应当按照下列规定确定其初始投资成本：</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（一）以支付现金取得的长期股权投资，应当按照实际支付的购买价款作为初始投资成本。初始投资成本包括与取得长期股权投资直接相关的费用、税金及其他必要支出。</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（二）以发行权益性证券取得的长期股权投资，应当按照发行权</w:t>
      </w:r>
      <w:r>
        <w:rPr>
          <w:rFonts w:ascii="宋体" w:eastAsia="宋体" w:hAnsi="宋体" w:cs="宋体" w:hint="eastAsia"/>
          <w:color w:val="333333"/>
          <w:szCs w:val="24"/>
          <w:shd w:val="clear" w:color="auto" w:fill="FFFFFF"/>
        </w:rPr>
        <w:t>益性证券的公允价值作为初始投资成本。与发行权益性证券直接相关的费用，应当按照《企业会计准则第</w:t>
      </w:r>
      <w:r>
        <w:rPr>
          <w:rFonts w:ascii="宋体" w:eastAsia="宋体" w:hAnsi="宋体" w:cs="宋体" w:hint="eastAsia"/>
          <w:color w:val="333333"/>
          <w:szCs w:val="24"/>
          <w:shd w:val="clear" w:color="auto" w:fill="FFFFFF"/>
        </w:rPr>
        <w:t>37</w:t>
      </w:r>
      <w:r>
        <w:rPr>
          <w:rFonts w:ascii="宋体" w:eastAsia="宋体" w:hAnsi="宋体" w:cs="宋体" w:hint="eastAsia"/>
          <w:color w:val="333333"/>
          <w:szCs w:val="24"/>
          <w:shd w:val="clear" w:color="auto" w:fill="FFFFFF"/>
        </w:rPr>
        <w:t>号——金融工具列报》的有关规定确定。</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（三）通过非货币性资产交换取得的长期股权投资，其初始投资成本应当按照《企业会计准则第</w:t>
      </w:r>
      <w:r>
        <w:rPr>
          <w:rFonts w:ascii="宋体" w:eastAsia="宋体" w:hAnsi="宋体" w:cs="宋体" w:hint="eastAsia"/>
          <w:color w:val="333333"/>
          <w:szCs w:val="24"/>
          <w:shd w:val="clear" w:color="auto" w:fill="FFFFFF"/>
        </w:rPr>
        <w:t>7</w:t>
      </w:r>
      <w:r>
        <w:rPr>
          <w:rFonts w:ascii="宋体" w:eastAsia="宋体" w:hAnsi="宋体" w:cs="宋体" w:hint="eastAsia"/>
          <w:color w:val="333333"/>
          <w:szCs w:val="24"/>
          <w:shd w:val="clear" w:color="auto" w:fill="FFFFFF"/>
        </w:rPr>
        <w:t>号——非货币性资产交换》的有关规定确定。</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（四）通过债务重组取得的长期股权投资，其初始投资成本应当按照《企业会计准则第</w:t>
      </w:r>
      <w:r>
        <w:rPr>
          <w:rFonts w:ascii="宋体" w:eastAsia="宋体" w:hAnsi="宋体" w:cs="宋体" w:hint="eastAsia"/>
          <w:color w:val="333333"/>
          <w:szCs w:val="24"/>
          <w:shd w:val="clear" w:color="auto" w:fill="FFFFFF"/>
        </w:rPr>
        <w:t>12</w:t>
      </w:r>
      <w:r>
        <w:rPr>
          <w:rFonts w:ascii="宋体" w:eastAsia="宋体" w:hAnsi="宋体" w:cs="宋体" w:hint="eastAsia"/>
          <w:color w:val="333333"/>
          <w:szCs w:val="24"/>
          <w:shd w:val="clear" w:color="auto" w:fill="FFFFFF"/>
        </w:rPr>
        <w:t>号——债务重组》的有关规定确定。</w:t>
      </w:r>
    </w:p>
    <w:p w:rsidR="00CB2ED4" w:rsidRDefault="00B760D0">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color w:val="333333"/>
          <w:szCs w:val="24"/>
          <w:shd w:val="clear" w:color="auto" w:fill="FFFFFF"/>
        </w:rPr>
        <w:t> </w:t>
      </w:r>
    </w:p>
    <w:p w:rsidR="00CB2ED4" w:rsidRDefault="00B760D0">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后续计量</w:t>
      </w:r>
      <w:r>
        <w:rPr>
          <w:rFonts w:ascii="宋体" w:eastAsia="宋体" w:hAnsi="宋体" w:cs="宋体" w:hint="eastAsia"/>
          <w:b/>
          <w:bCs/>
          <w:color w:val="333333"/>
          <w:szCs w:val="24"/>
          <w:shd w:val="clear" w:color="auto" w:fill="FFFFFF"/>
        </w:rPr>
        <w:t> </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投资方能够对被投资单位实施控制的长期股权投资应当采用成本法核算。</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采用成本法核算的长期股权投资应当按照初始投资成本计价。追加或收回投资应当调整长期股权投资的成本。被投资单位宣告分派的现金股利或利润，应当确认为当期投资收益。</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投资方对联营企业和合营企业的长期股权投资，应当按照本准则第十条至第十三条规定，采用权益法核算。</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投资方对联营企业的权益性投资，其中一部分通过风险投资机构、共同基金、信托公司或包括投连险基金在内的类似主体间接持有的，无论以上主体是否对这部分投资具有重大影响，投资方都可以按照《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号——金融工具确认和计量》的有关规定，对间接</w:t>
      </w:r>
      <w:r>
        <w:rPr>
          <w:rFonts w:ascii="宋体" w:eastAsia="宋体" w:hAnsi="宋体" w:cs="宋体" w:hint="eastAsia"/>
          <w:color w:val="333333"/>
          <w:szCs w:val="24"/>
          <w:shd w:val="clear" w:color="auto" w:fill="FFFFFF"/>
        </w:rPr>
        <w:t>持有的该部分投资选择以公允价值计量且其变动计入损益，并对其余部分采用权益法核算。</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长期股权投资的初始投资成本大于投资时应享有被投资单位可辨认净资产公允价值份额的，不调整长期股权投资的初始投资成本；长期股权投资的初始投资成本小于投资时应享有被投资单位可辨认净资产公允价值份额的，其差额应当计入当期损益，同时调整长期股权投资的成本。</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被投资单位可辨认净资产的公允价值，应当比照《企业会计准则第</w:t>
      </w:r>
      <w:r>
        <w:rPr>
          <w:rFonts w:ascii="宋体" w:eastAsia="宋体" w:hAnsi="宋体" w:cs="宋体" w:hint="eastAsia"/>
          <w:color w:val="333333"/>
          <w:szCs w:val="24"/>
          <w:shd w:val="clear" w:color="auto" w:fill="FFFFFF"/>
        </w:rPr>
        <w:t>20</w:t>
      </w:r>
      <w:r>
        <w:rPr>
          <w:rFonts w:ascii="宋体" w:eastAsia="宋体" w:hAnsi="宋体" w:cs="宋体" w:hint="eastAsia"/>
          <w:color w:val="333333"/>
          <w:szCs w:val="24"/>
          <w:shd w:val="clear" w:color="auto" w:fill="FFFFFF"/>
        </w:rPr>
        <w:t>号——企业合并》的有关规定确定。</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投资方取得长期股权投资后，应当按照应享有或应分担的被</w:t>
      </w:r>
      <w:r>
        <w:rPr>
          <w:rFonts w:ascii="宋体" w:eastAsia="宋体" w:hAnsi="宋体" w:cs="宋体" w:hint="eastAsia"/>
          <w:color w:val="333333"/>
          <w:szCs w:val="24"/>
          <w:shd w:val="clear" w:color="auto" w:fill="FFFFFF"/>
        </w:rPr>
        <w:t>投资单位实现的净损益和其他综合收益的份额，分别确认投资收益和其他综合收益，同时调整长期股权投资的账面价值；投资方按照被投资单位宣告分派的利润或现金股利计算应享有的部分，相应减少长期股权投资的账面价值；投资方对于被投资单位除净损益、其他综合收益和利润分配以外所有者权益的其他变动，应当调整长期股权投资的账面价值并计入所有者权益。</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投资方在确认应享有被投资单位净损益的份额时，应当以取得投资时被投资单位可辨认净资产的公允价值为基础，对被投资单位的净利润进行调整后确认。</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被投资单位采用的会计政策及会计期间与投</w:t>
      </w:r>
      <w:r>
        <w:rPr>
          <w:rFonts w:ascii="宋体" w:eastAsia="宋体" w:hAnsi="宋体" w:cs="宋体" w:hint="eastAsia"/>
          <w:color w:val="333333"/>
          <w:szCs w:val="24"/>
          <w:shd w:val="clear" w:color="auto" w:fill="FFFFFF"/>
        </w:rPr>
        <w:t>资方不一致的，应当按照投资方的会计政策及会计期间对被投资单位的财务报表进行调整，并据以确认投资收益和其他综合收益等。</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投资方确认被投资单位发生的净亏损，应当以长期股权投资的账面价值以及其他实质上构成对被投资单位净投资的长期权益减记至零为限，投资方负有承担额外损失义务的除外。</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被投资单位以后实现净利润的，投资方在其收益分享额弥补未确认的亏损分担额后，恢复确认收益分享额。</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投资方计算确认应享有或应分担被投资单位的净损益时，与联营企业、合营企业之间发生的未实现内部交易损益按照应</w:t>
      </w:r>
      <w:r>
        <w:rPr>
          <w:rFonts w:ascii="宋体" w:eastAsia="宋体" w:hAnsi="宋体" w:cs="宋体" w:hint="eastAsia"/>
          <w:color w:val="333333"/>
          <w:szCs w:val="24"/>
          <w:shd w:val="clear" w:color="auto" w:fill="FFFFFF"/>
        </w:rPr>
        <w:t>享有的比例计算归属于投资方的部分，应当予以抵销，在此基础上确认投资收益。</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投资方与被投资单位发生的未实现内部交易损失，按照《企业会计准则第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号——资产减值》等的有关规定属于资产减值损失的，应当全额确认。</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投资方因追加投资等原因能够对被投资单位施加重大影响或实施共同控制但不构成控制的，应当按照《企业会计准则第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号——金融工具确认和计量》确定的原持有的股权投资的公允价值加上新增投资成本之和，作为改按权益法核算的初始投资成本。原持有的股权投资分类为可供出售金融资产的，其公允价值与账面价值之间的</w:t>
      </w:r>
      <w:r>
        <w:rPr>
          <w:rFonts w:ascii="宋体" w:eastAsia="宋体" w:hAnsi="宋体" w:cs="宋体" w:hint="eastAsia"/>
          <w:color w:val="333333"/>
          <w:szCs w:val="24"/>
          <w:shd w:val="clear" w:color="auto" w:fill="FFFFFF"/>
        </w:rPr>
        <w:t>差额，以及原计入其他综合收益的累计公允价值变动应当转入改按权益法核算的当期损益。</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投资方因追加投资等原因能够对非同一控制下的被投资单位实施控制的，在编制个别财务报表时，应当按照原持有的股权投资账面价值加上新增投资成本之和，作为改按成本法核算的初始投资成本。购买日之前持有的股权投资因采用权益法核算而确认的其他综合收益，应当在处置该项投资时采用与被投资单位直接处置相关资产或负债相同的基础进行会计处理。购买日之前持有的股权投资按照《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号——金融工具确认和计量》的有关规定进行会计处理的，</w:t>
      </w:r>
      <w:r>
        <w:rPr>
          <w:rFonts w:ascii="宋体" w:eastAsia="宋体" w:hAnsi="宋体" w:cs="宋体" w:hint="eastAsia"/>
          <w:color w:val="333333"/>
          <w:szCs w:val="24"/>
          <w:shd w:val="clear" w:color="auto" w:fill="FFFFFF"/>
        </w:rPr>
        <w:lastRenderedPageBreak/>
        <w:t>原计入其</w:t>
      </w:r>
      <w:r>
        <w:rPr>
          <w:rFonts w:ascii="宋体" w:eastAsia="宋体" w:hAnsi="宋体" w:cs="宋体" w:hint="eastAsia"/>
          <w:color w:val="333333"/>
          <w:szCs w:val="24"/>
          <w:shd w:val="clear" w:color="auto" w:fill="FFFFFF"/>
        </w:rPr>
        <w:t>他综合收益的累计公允价值变动应当在改按成本法核算时转入当期损益。在编制合并财务报表时，应当按照《企业会计准则第</w:t>
      </w:r>
      <w:r>
        <w:rPr>
          <w:rFonts w:ascii="宋体" w:eastAsia="宋体" w:hAnsi="宋体" w:cs="宋体" w:hint="eastAsia"/>
          <w:color w:val="333333"/>
          <w:szCs w:val="24"/>
          <w:shd w:val="clear" w:color="auto" w:fill="FFFFFF"/>
        </w:rPr>
        <w:t>33</w:t>
      </w:r>
      <w:r>
        <w:rPr>
          <w:rFonts w:ascii="宋体" w:eastAsia="宋体" w:hAnsi="宋体" w:cs="宋体" w:hint="eastAsia"/>
          <w:color w:val="333333"/>
          <w:szCs w:val="24"/>
          <w:shd w:val="clear" w:color="auto" w:fill="FFFFFF"/>
        </w:rPr>
        <w:t>号——合并财务报表》的有关规定进行会计处理。</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投资方因处置部分股权投资等原因丧失了对被投资单位的共同控制或重大影响的，处置后的剩余股权应当改按《企业会计准则第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核算，其在丧失共同控制或重大影响之日的公允价值与账面价值之间的差额计入当期损益。原股权投资因采用权益法核算而确认的其他综合收益，应当在终止采用权益法核算时采用与被投资单位直接处置相关资产或负债相同</w:t>
      </w:r>
      <w:r>
        <w:rPr>
          <w:rFonts w:ascii="宋体" w:eastAsia="宋体" w:hAnsi="宋体" w:cs="宋体" w:hint="eastAsia"/>
          <w:color w:val="333333"/>
          <w:szCs w:val="24"/>
          <w:shd w:val="clear" w:color="auto" w:fill="FFFFFF"/>
        </w:rPr>
        <w:t>的基础进行会计处理。</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投资方因处置部分权益性投资等原因丧失了对被投资单位的控制的，在编制个别财务报表时，处置后的剩余股权能够对被投资单位实施共同控制或施加重大影响的，应当改按权益法核算，并对该剩余股权视同自取得时即采用权益法核算进行调整；处置后的剩余股权不能对被投资单位实施共同控制或施加重大影响的，应当改按《企业会计准则第</w:t>
      </w:r>
      <w:r>
        <w:rPr>
          <w:rFonts w:ascii="宋体" w:eastAsia="宋体" w:hAnsi="宋体" w:cs="宋体" w:hint="eastAsia"/>
          <w:color w:val="333333"/>
          <w:szCs w:val="24"/>
          <w:shd w:val="clear" w:color="auto" w:fill="FFFFFF"/>
        </w:rPr>
        <w:t>22</w:t>
      </w:r>
      <w:r>
        <w:rPr>
          <w:rFonts w:ascii="宋体" w:eastAsia="宋体" w:hAnsi="宋体" w:cs="宋体" w:hint="eastAsia"/>
          <w:color w:val="333333"/>
          <w:szCs w:val="24"/>
          <w:shd w:val="clear" w:color="auto" w:fill="FFFFFF"/>
        </w:rPr>
        <w:t>号——金融工具确认和计量》的有关规定进行会计处理，其在丧失控制之日的公允价值与账面价值间的差额计入当期损益。在编制合并财务报表时，应当按照《企业会计准则第</w:t>
      </w:r>
      <w:r>
        <w:rPr>
          <w:rFonts w:ascii="宋体" w:eastAsia="宋体" w:hAnsi="宋体" w:cs="宋体" w:hint="eastAsia"/>
          <w:color w:val="333333"/>
          <w:szCs w:val="24"/>
          <w:shd w:val="clear" w:color="auto" w:fill="FFFFFF"/>
        </w:rPr>
        <w:t>33</w:t>
      </w:r>
      <w:r>
        <w:rPr>
          <w:rFonts w:ascii="宋体" w:eastAsia="宋体" w:hAnsi="宋体" w:cs="宋体" w:hint="eastAsia"/>
          <w:color w:val="333333"/>
          <w:szCs w:val="24"/>
          <w:shd w:val="clear" w:color="auto" w:fill="FFFFFF"/>
        </w:rPr>
        <w:t>号——合并财务报表》的</w:t>
      </w:r>
      <w:r>
        <w:rPr>
          <w:rFonts w:ascii="宋体" w:eastAsia="宋体" w:hAnsi="宋体" w:cs="宋体" w:hint="eastAsia"/>
          <w:color w:val="333333"/>
          <w:szCs w:val="24"/>
          <w:shd w:val="clear" w:color="auto" w:fill="FFFFFF"/>
        </w:rPr>
        <w:t>有关规定进行会计处理。</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对联营企业或合营企业的权益性投资全部或部分分类为持有待售资产的，投资方应当按照《企业会计准则第</w:t>
      </w:r>
      <w:r>
        <w:rPr>
          <w:rFonts w:ascii="宋体" w:eastAsia="宋体" w:hAnsi="宋体" w:cs="宋体" w:hint="eastAsia"/>
          <w:color w:val="333333"/>
          <w:szCs w:val="24"/>
          <w:shd w:val="clear" w:color="auto" w:fill="FFFFFF"/>
        </w:rPr>
        <w:t>4</w:t>
      </w:r>
      <w:r>
        <w:rPr>
          <w:rFonts w:ascii="宋体" w:eastAsia="宋体" w:hAnsi="宋体" w:cs="宋体" w:hint="eastAsia"/>
          <w:color w:val="333333"/>
          <w:szCs w:val="24"/>
          <w:shd w:val="clear" w:color="auto" w:fill="FFFFFF"/>
        </w:rPr>
        <w:t>号——固定资产》的有关规定处理，对于未划分为持有待售资产的剩余权益性投资，应当采用权益法进行会计处理。</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已划分为持有待售的对联营企业或合营企业的权益性投资，不再符合持有待售资产分类条件的，应当从被分类为持有待售资产之日起采用权益法进行追溯调整。分类为持有待售期间的财务报表应当作相应调整。</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第十七条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处置长期股权投资，其账面价值与实际取得价款之间的差额，应当计入当期损益</w:t>
      </w:r>
      <w:r>
        <w:rPr>
          <w:rFonts w:ascii="宋体" w:eastAsia="宋体" w:hAnsi="宋体" w:cs="宋体" w:hint="eastAsia"/>
          <w:color w:val="333333"/>
          <w:szCs w:val="24"/>
          <w:shd w:val="clear" w:color="auto" w:fill="FFFFFF"/>
        </w:rPr>
        <w:t>。采用权益法核算的长期股权投资，在处置该项投资时，采用与被投资单位直接处置相关资产或负债相同的基础，按相应比例对原计入其他综合收益的部分进行会计处理。</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投资方应当关注长期股权投资的账面价值是否大于享有被投资单位所有者权益账面价值的份额等类似情况。出现类似情况时，投资方应当按照《企业会计准则第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号——资产减值》对长期股权投资进行减值测试，可收回金额低于长期股权投资账面价值的，应当计提减值准备。</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w:t>
      </w:r>
    </w:p>
    <w:p w:rsidR="00CB2ED4" w:rsidRDefault="00B760D0">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衔接规定</w:t>
      </w:r>
      <w:r>
        <w:rPr>
          <w:rFonts w:ascii="宋体" w:eastAsia="宋体" w:hAnsi="宋体" w:cs="宋体" w:hint="eastAsia"/>
          <w:b/>
          <w:bCs/>
          <w:color w:val="333333"/>
          <w:szCs w:val="24"/>
          <w:shd w:val="clear" w:color="auto" w:fill="FFFFFF"/>
        </w:rPr>
        <w:t> </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在本准则施行日之前已经执行企业会计准则的企业，应当按照本准则</w:t>
      </w:r>
      <w:r>
        <w:rPr>
          <w:rFonts w:ascii="宋体" w:eastAsia="宋体" w:hAnsi="宋体" w:cs="宋体" w:hint="eastAsia"/>
          <w:color w:val="333333"/>
          <w:szCs w:val="24"/>
          <w:shd w:val="clear" w:color="auto" w:fill="FFFFFF"/>
        </w:rPr>
        <w:t>进行追溯调整，追溯调整不切实可行的除外。</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w:t>
      </w:r>
    </w:p>
    <w:p w:rsidR="00CB2ED4" w:rsidRDefault="00B760D0">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第五章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附则</w:t>
      </w:r>
      <w:r>
        <w:rPr>
          <w:rFonts w:ascii="宋体" w:eastAsia="宋体" w:hAnsi="宋体" w:cs="宋体" w:hint="eastAsia"/>
          <w:b/>
          <w:bCs/>
          <w:color w:val="333333"/>
          <w:szCs w:val="24"/>
          <w:shd w:val="clear" w:color="auto" w:fill="FFFFFF"/>
        </w:rPr>
        <w:t> </w:t>
      </w:r>
    </w:p>
    <w:p w:rsidR="00CB2ED4" w:rsidRDefault="00B760D0">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第二十条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本准则自</w:t>
      </w:r>
      <w:r>
        <w:rPr>
          <w:rFonts w:ascii="宋体" w:eastAsia="宋体" w:hAnsi="宋体" w:cs="宋体" w:hint="eastAsia"/>
          <w:color w:val="333333"/>
          <w:szCs w:val="24"/>
          <w:shd w:val="clear" w:color="auto" w:fill="FFFFFF"/>
        </w:rPr>
        <w:t>2014</w:t>
      </w:r>
      <w:r>
        <w:rPr>
          <w:rFonts w:ascii="宋体" w:eastAsia="宋体" w:hAnsi="宋体" w:cs="宋体" w:hint="eastAsia"/>
          <w:color w:val="333333"/>
          <w:szCs w:val="24"/>
          <w:shd w:val="clear" w:color="auto" w:fill="FFFFFF"/>
        </w:rPr>
        <w:t>年</w:t>
      </w:r>
      <w:r>
        <w:rPr>
          <w:rFonts w:ascii="宋体" w:eastAsia="宋体" w:hAnsi="宋体" w:cs="宋体" w:hint="eastAsia"/>
          <w:color w:val="333333"/>
          <w:szCs w:val="24"/>
          <w:shd w:val="clear" w:color="auto" w:fill="FFFFFF"/>
        </w:rPr>
        <w:t>7</w:t>
      </w:r>
      <w:r>
        <w:rPr>
          <w:rFonts w:ascii="宋体" w:eastAsia="宋体" w:hAnsi="宋体" w:cs="宋体" w:hint="eastAsia"/>
          <w:color w:val="333333"/>
          <w:szCs w:val="24"/>
          <w:shd w:val="clear" w:color="auto" w:fill="FFFFFF"/>
        </w:rPr>
        <w:t>月</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日起施行。</w:t>
      </w:r>
    </w:p>
    <w:p w:rsidR="00CB2ED4" w:rsidRDefault="00CB2ED4"/>
    <w:sectPr w:rsidR="00CB2E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B760D0"/>
    <w:rsid w:val="00C301AA"/>
    <w:rsid w:val="00CB2ED4"/>
    <w:rsid w:val="1ADF1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640</Words>
  <Characters>3649</Characters>
  <Application>Microsoft Office Word</Application>
  <DocSecurity>0</DocSecurity>
  <Lines>30</Lines>
  <Paragraphs>8</Paragraphs>
  <ScaleCrop>false</ScaleCrop>
  <Company/>
  <LinksUpToDate>false</LinksUpToDate>
  <CharactersWithSpaces>4281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4ED1F80E9E4049B191FE48F4C8FA168F</vt:lpwstr>
  </property>
</Properties>
</file>