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50B7D" w:rsidRPr="00D103A8" w:rsidRDefault="00D103A8">
      <w:pPr>
        <w:pStyle w:val="2"/>
        <w:widowControl/>
        <w:shd w:val="clear" w:color="auto" w:fill="FFFFFF"/>
        <w:spacing w:beforeAutospacing="0" w:afterAutospacing="0" w:line="675" w:lineRule="atLeast"/>
        <w:jc w:val="center"/>
        <w:rPr>
          <w:rFonts w:ascii="方正小标宋_GBK" w:eastAsia="方正小标宋_GBK" w:hAnsi="微软雅黑" w:cs="微软雅黑"/>
          <w:color w:val="333333"/>
        </w:rPr>
      </w:pPr>
      <w:r w:rsidRPr="00D103A8">
        <w:rPr>
          <w:rFonts w:ascii="方正小标宋_GBK" w:eastAsia="方正小标宋_GBK" w:hAnsi="微软雅黑" w:cs="微软雅黑"/>
          <w:color w:val="333333"/>
          <w:shd w:val="clear" w:color="auto" w:fill="FFFFFF"/>
        </w:rPr>
        <w:t>企业会计准则第</w:t>
      </w:r>
      <w:r w:rsidRPr="00D103A8">
        <w:rPr>
          <w:rFonts w:ascii="方正小标宋_GBK" w:eastAsia="方正小标宋_GBK" w:hAnsi="微软雅黑" w:cs="微软雅黑"/>
          <w:color w:val="333333"/>
          <w:shd w:val="clear" w:color="auto" w:fill="FFFFFF"/>
        </w:rPr>
        <w:t>28</w:t>
      </w:r>
      <w:r w:rsidRPr="00D103A8">
        <w:rPr>
          <w:rFonts w:ascii="方正小标宋_GBK" w:eastAsia="方正小标宋_GBK" w:hAnsi="微软雅黑" w:cs="微软雅黑"/>
          <w:color w:val="333333"/>
          <w:shd w:val="clear" w:color="auto" w:fill="FFFFFF"/>
        </w:rPr>
        <w:t>号——会计政策、会计估计变更和差错更正</w:t>
      </w:r>
    </w:p>
    <w:p w:rsidR="00E50B7D" w:rsidRPr="00D103A8" w:rsidRDefault="00E50B7D">
      <w:pPr>
        <w:pStyle w:val="a5"/>
        <w:widowControl/>
        <w:spacing w:beforeAutospacing="0" w:after="150" w:afterAutospacing="0" w:line="23" w:lineRule="atLeast"/>
        <w:jc w:val="both"/>
        <w:rPr>
          <w:rFonts w:ascii="方正小标宋_GBK" w:eastAsia="方正小标宋_GBK" w:hAnsi="宋体" w:cs="宋体" w:hint="eastAsia"/>
          <w:szCs w:val="24"/>
        </w:rPr>
      </w:pPr>
    </w:p>
    <w:p w:rsidR="00E50B7D" w:rsidRDefault="00D103A8">
      <w:pPr>
        <w:pStyle w:val="a5"/>
        <w:widowControl/>
        <w:spacing w:beforeAutospacing="0" w:after="150" w:afterAutospacing="0" w:line="23" w:lineRule="atLeast"/>
        <w:jc w:val="center"/>
        <w:rPr>
          <w:rFonts w:ascii="宋体" w:eastAsia="宋体" w:hAnsi="宋体" w:cs="宋体"/>
          <w:szCs w:val="24"/>
        </w:rPr>
      </w:pPr>
      <w:r>
        <w:rPr>
          <w:rFonts w:ascii="宋体" w:eastAsia="宋体" w:hAnsi="宋体" w:cs="宋体" w:hint="eastAsia"/>
          <w:b/>
          <w:bCs/>
          <w:color w:val="333333"/>
          <w:szCs w:val="24"/>
          <w:shd w:val="clear" w:color="auto" w:fill="FFFFFF"/>
        </w:rPr>
        <w:t>第一章</w:t>
      </w:r>
      <w:r>
        <w:rPr>
          <w:rFonts w:ascii="宋体" w:eastAsia="宋体" w:hAnsi="宋体" w:cs="宋体" w:hint="eastAsia"/>
          <w:b/>
          <w:bCs/>
          <w:color w:val="333333"/>
          <w:szCs w:val="24"/>
          <w:shd w:val="clear" w:color="auto" w:fill="FFFFFF"/>
        </w:rPr>
        <w:t xml:space="preserve">  </w:t>
      </w:r>
      <w:r>
        <w:rPr>
          <w:rFonts w:ascii="宋体" w:eastAsia="宋体" w:hAnsi="宋体" w:cs="宋体" w:hint="eastAsia"/>
          <w:b/>
          <w:bCs/>
          <w:color w:val="333333"/>
          <w:szCs w:val="24"/>
          <w:shd w:val="clear" w:color="auto" w:fill="FFFFFF"/>
        </w:rPr>
        <w:t>总则</w:t>
      </w:r>
      <w:r>
        <w:rPr>
          <w:rFonts w:ascii="宋体" w:eastAsia="宋体" w:hAnsi="宋体" w:cs="宋体" w:hint="eastAsia"/>
          <w:b/>
          <w:bCs/>
          <w:color w:val="333333"/>
          <w:szCs w:val="24"/>
          <w:shd w:val="clear" w:color="auto" w:fill="FFFFFF"/>
        </w:rPr>
        <w:t> </w:t>
      </w:r>
      <w:r>
        <w:rPr>
          <w:rFonts w:ascii="宋体" w:eastAsia="宋体" w:hAnsi="宋体" w:cs="宋体" w:hint="eastAsia"/>
          <w:color w:val="333333"/>
          <w:szCs w:val="24"/>
          <w:shd w:val="clear" w:color="auto" w:fill="FFFFFF"/>
        </w:rPr>
        <w:t> </w:t>
      </w:r>
      <w:bookmarkStart w:id="0" w:name="_GoBack"/>
      <w:bookmarkEnd w:id="0"/>
    </w:p>
    <w:p w:rsidR="00E50B7D" w:rsidRDefault="00D103A8">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第一条</w:t>
      </w:r>
      <w:r>
        <w:rPr>
          <w:rFonts w:ascii="宋体" w:eastAsia="宋体" w:hAnsi="宋体" w:cs="宋体" w:hint="eastAsia"/>
          <w:color w:val="333333"/>
          <w:szCs w:val="24"/>
          <w:shd w:val="clear" w:color="auto" w:fill="FFFFFF"/>
        </w:rPr>
        <w:t>  </w:t>
      </w:r>
      <w:r>
        <w:rPr>
          <w:rFonts w:ascii="宋体" w:eastAsia="宋体" w:hAnsi="宋体" w:cs="宋体" w:hint="eastAsia"/>
          <w:color w:val="333333"/>
          <w:szCs w:val="24"/>
          <w:shd w:val="clear" w:color="auto" w:fill="FFFFFF"/>
        </w:rPr>
        <w:t>为了规范企业会计政策的应用，会计政策、会计估计变更和前期差错更正的确认、计量和相关信息的披露，根据《企业会计准则——基本准则》，制定本准则。</w:t>
      </w:r>
      <w:r>
        <w:rPr>
          <w:rFonts w:ascii="宋体" w:eastAsia="宋体" w:hAnsi="宋体" w:cs="宋体" w:hint="eastAsia"/>
          <w:color w:val="333333"/>
          <w:szCs w:val="24"/>
          <w:shd w:val="clear" w:color="auto" w:fill="FFFFFF"/>
        </w:rPr>
        <w:t> </w:t>
      </w:r>
    </w:p>
    <w:p w:rsidR="00E50B7D" w:rsidRDefault="00D103A8">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第二条</w:t>
      </w:r>
      <w:r>
        <w:rPr>
          <w:rFonts w:ascii="宋体" w:eastAsia="宋体" w:hAnsi="宋体" w:cs="宋体" w:hint="eastAsia"/>
          <w:color w:val="333333"/>
          <w:szCs w:val="24"/>
          <w:shd w:val="clear" w:color="auto" w:fill="FFFFFF"/>
        </w:rPr>
        <w:t>  </w:t>
      </w:r>
      <w:r>
        <w:rPr>
          <w:rFonts w:ascii="宋体" w:eastAsia="宋体" w:hAnsi="宋体" w:cs="宋体" w:hint="eastAsia"/>
          <w:color w:val="333333"/>
          <w:szCs w:val="24"/>
          <w:shd w:val="clear" w:color="auto" w:fill="FFFFFF"/>
        </w:rPr>
        <w:t>会计政策变更和前期差错更正的所得税影响，适用《企业会计准则第</w:t>
      </w:r>
      <w:r>
        <w:rPr>
          <w:rFonts w:ascii="宋体" w:eastAsia="宋体" w:hAnsi="宋体" w:cs="宋体" w:hint="eastAsia"/>
          <w:color w:val="333333"/>
          <w:szCs w:val="24"/>
          <w:shd w:val="clear" w:color="auto" w:fill="FFFFFF"/>
        </w:rPr>
        <w:t>18</w:t>
      </w:r>
      <w:r>
        <w:rPr>
          <w:rFonts w:ascii="宋体" w:eastAsia="宋体" w:hAnsi="宋体" w:cs="宋体" w:hint="eastAsia"/>
          <w:color w:val="333333"/>
          <w:szCs w:val="24"/>
          <w:shd w:val="clear" w:color="auto" w:fill="FFFFFF"/>
        </w:rPr>
        <w:t>号——所得税》。</w:t>
      </w:r>
      <w:r>
        <w:rPr>
          <w:rFonts w:ascii="宋体" w:eastAsia="宋体" w:hAnsi="宋体" w:cs="宋体" w:hint="eastAsia"/>
          <w:color w:val="333333"/>
          <w:szCs w:val="24"/>
          <w:shd w:val="clear" w:color="auto" w:fill="FFFFFF"/>
        </w:rPr>
        <w:t> </w:t>
      </w:r>
    </w:p>
    <w:p w:rsidR="00E50B7D" w:rsidRDefault="00D103A8">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w:t>
      </w:r>
      <w:r>
        <w:rPr>
          <w:rFonts w:ascii="宋体" w:eastAsia="宋体" w:hAnsi="宋体" w:cs="宋体" w:hint="eastAsia"/>
          <w:b/>
          <w:bCs/>
          <w:color w:val="333333"/>
          <w:szCs w:val="24"/>
          <w:shd w:val="clear" w:color="auto" w:fill="FFFFFF"/>
        </w:rPr>
        <w:t> </w:t>
      </w:r>
      <w:r>
        <w:rPr>
          <w:rFonts w:ascii="宋体" w:eastAsia="宋体" w:hAnsi="宋体" w:cs="宋体" w:hint="eastAsia"/>
          <w:color w:val="333333"/>
          <w:szCs w:val="24"/>
          <w:shd w:val="clear" w:color="auto" w:fill="FFFFFF"/>
        </w:rPr>
        <w:t> </w:t>
      </w:r>
    </w:p>
    <w:p w:rsidR="00E50B7D" w:rsidRDefault="00D103A8">
      <w:pPr>
        <w:pStyle w:val="a5"/>
        <w:widowControl/>
        <w:spacing w:beforeAutospacing="0" w:after="150" w:afterAutospacing="0" w:line="23" w:lineRule="atLeast"/>
        <w:jc w:val="center"/>
        <w:rPr>
          <w:rFonts w:ascii="宋体" w:eastAsia="宋体" w:hAnsi="宋体" w:cs="宋体"/>
          <w:szCs w:val="24"/>
        </w:rPr>
      </w:pPr>
      <w:r>
        <w:rPr>
          <w:rFonts w:ascii="宋体" w:eastAsia="宋体" w:hAnsi="宋体" w:cs="宋体" w:hint="eastAsia"/>
          <w:b/>
          <w:bCs/>
          <w:color w:val="333333"/>
          <w:szCs w:val="24"/>
          <w:shd w:val="clear" w:color="auto" w:fill="FFFFFF"/>
        </w:rPr>
        <w:t>第二章</w:t>
      </w:r>
      <w:r>
        <w:rPr>
          <w:rFonts w:ascii="宋体" w:eastAsia="宋体" w:hAnsi="宋体" w:cs="宋体" w:hint="eastAsia"/>
          <w:b/>
          <w:bCs/>
          <w:color w:val="333333"/>
          <w:szCs w:val="24"/>
          <w:shd w:val="clear" w:color="auto" w:fill="FFFFFF"/>
        </w:rPr>
        <w:t xml:space="preserve">  </w:t>
      </w:r>
      <w:r>
        <w:rPr>
          <w:rFonts w:ascii="宋体" w:eastAsia="宋体" w:hAnsi="宋体" w:cs="宋体" w:hint="eastAsia"/>
          <w:b/>
          <w:bCs/>
          <w:color w:val="333333"/>
          <w:szCs w:val="24"/>
          <w:shd w:val="clear" w:color="auto" w:fill="FFFFFF"/>
        </w:rPr>
        <w:t>会计政策</w:t>
      </w:r>
      <w:r>
        <w:rPr>
          <w:rFonts w:ascii="宋体" w:eastAsia="宋体" w:hAnsi="宋体" w:cs="宋体" w:hint="eastAsia"/>
          <w:b/>
          <w:bCs/>
          <w:color w:val="333333"/>
          <w:szCs w:val="24"/>
          <w:shd w:val="clear" w:color="auto" w:fill="FFFFFF"/>
        </w:rPr>
        <w:t> </w:t>
      </w:r>
      <w:r>
        <w:rPr>
          <w:rFonts w:ascii="宋体" w:eastAsia="宋体" w:hAnsi="宋体" w:cs="宋体" w:hint="eastAsia"/>
          <w:color w:val="333333"/>
          <w:szCs w:val="24"/>
          <w:shd w:val="clear" w:color="auto" w:fill="FFFFFF"/>
        </w:rPr>
        <w:t> </w:t>
      </w:r>
    </w:p>
    <w:p w:rsidR="00E50B7D" w:rsidRDefault="00D103A8">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第三条</w:t>
      </w:r>
      <w:r>
        <w:rPr>
          <w:rFonts w:ascii="宋体" w:eastAsia="宋体" w:hAnsi="宋体" w:cs="宋体" w:hint="eastAsia"/>
          <w:b/>
          <w:bCs/>
          <w:color w:val="333333"/>
          <w:szCs w:val="24"/>
          <w:shd w:val="clear" w:color="auto" w:fill="FFFFFF"/>
        </w:rPr>
        <w:t>  </w:t>
      </w:r>
      <w:r>
        <w:rPr>
          <w:rFonts w:ascii="宋体" w:eastAsia="宋体" w:hAnsi="宋体" w:cs="宋体" w:hint="eastAsia"/>
          <w:color w:val="333333"/>
          <w:szCs w:val="24"/>
          <w:shd w:val="clear" w:color="auto" w:fill="FFFFFF"/>
        </w:rPr>
        <w:t>企业应当对相同或者相似的交易或者事项采用相同的会计政策进行处理。但是，其他会计准则另有规定的除外。</w:t>
      </w:r>
      <w:r>
        <w:rPr>
          <w:rFonts w:ascii="宋体" w:eastAsia="宋体" w:hAnsi="宋体" w:cs="宋体" w:hint="eastAsia"/>
          <w:color w:val="333333"/>
          <w:szCs w:val="24"/>
          <w:shd w:val="clear" w:color="auto" w:fill="FFFFFF"/>
        </w:rPr>
        <w:t> </w:t>
      </w:r>
    </w:p>
    <w:p w:rsidR="00E50B7D" w:rsidRDefault="00D103A8">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会计政策，是指企业在会计确认、计量和报告中所采用的原则、基础和会计处理方法。</w:t>
      </w:r>
      <w:r>
        <w:rPr>
          <w:rFonts w:ascii="宋体" w:eastAsia="宋体" w:hAnsi="宋体" w:cs="宋体" w:hint="eastAsia"/>
          <w:color w:val="333333"/>
          <w:szCs w:val="24"/>
          <w:shd w:val="clear" w:color="auto" w:fill="FFFFFF"/>
        </w:rPr>
        <w:t> </w:t>
      </w:r>
    </w:p>
    <w:p w:rsidR="00E50B7D" w:rsidRDefault="00D103A8">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第四条</w:t>
      </w:r>
      <w:r>
        <w:rPr>
          <w:rFonts w:ascii="宋体" w:eastAsia="宋体" w:hAnsi="宋体" w:cs="宋体" w:hint="eastAsia"/>
          <w:color w:val="333333"/>
          <w:szCs w:val="24"/>
          <w:shd w:val="clear" w:color="auto" w:fill="FFFFFF"/>
        </w:rPr>
        <w:t>  </w:t>
      </w:r>
      <w:r>
        <w:rPr>
          <w:rFonts w:ascii="宋体" w:eastAsia="宋体" w:hAnsi="宋体" w:cs="宋体" w:hint="eastAsia"/>
          <w:color w:val="333333"/>
          <w:szCs w:val="24"/>
          <w:shd w:val="clear" w:color="auto" w:fill="FFFFFF"/>
        </w:rPr>
        <w:t>企业采用的会计政策，在每一会计期间和前后各期应当保持一致，不得随意变更。但是，满足下列条件之一的，可以变更会计政策：</w:t>
      </w:r>
      <w:r>
        <w:rPr>
          <w:rFonts w:ascii="宋体" w:eastAsia="宋体" w:hAnsi="宋体" w:cs="宋体" w:hint="eastAsia"/>
          <w:color w:val="333333"/>
          <w:szCs w:val="24"/>
          <w:shd w:val="clear" w:color="auto" w:fill="FFFFFF"/>
        </w:rPr>
        <w:t> </w:t>
      </w:r>
    </w:p>
    <w:p w:rsidR="00E50B7D" w:rsidRDefault="00D103A8">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（一）法律、行政法规或者国家统一的会计制度等要求变更。</w:t>
      </w:r>
      <w:r>
        <w:rPr>
          <w:rFonts w:ascii="宋体" w:eastAsia="宋体" w:hAnsi="宋体" w:cs="宋体" w:hint="eastAsia"/>
          <w:color w:val="333333"/>
          <w:szCs w:val="24"/>
          <w:shd w:val="clear" w:color="auto" w:fill="FFFFFF"/>
        </w:rPr>
        <w:t> </w:t>
      </w:r>
    </w:p>
    <w:p w:rsidR="00E50B7D" w:rsidRDefault="00D103A8">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（二）会计政策变更能够提供更可靠、更相关的会计信息。</w:t>
      </w:r>
      <w:r>
        <w:rPr>
          <w:rFonts w:ascii="宋体" w:eastAsia="宋体" w:hAnsi="宋体" w:cs="宋体" w:hint="eastAsia"/>
          <w:color w:val="333333"/>
          <w:szCs w:val="24"/>
          <w:shd w:val="clear" w:color="auto" w:fill="FFFFFF"/>
        </w:rPr>
        <w:t> </w:t>
      </w:r>
    </w:p>
    <w:p w:rsidR="00E50B7D" w:rsidRDefault="00D103A8">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第五条</w:t>
      </w:r>
      <w:r>
        <w:rPr>
          <w:rFonts w:ascii="宋体" w:eastAsia="宋体" w:hAnsi="宋体" w:cs="宋体" w:hint="eastAsia"/>
          <w:color w:val="333333"/>
          <w:szCs w:val="24"/>
          <w:shd w:val="clear" w:color="auto" w:fill="FFFFFF"/>
        </w:rPr>
        <w:t>  </w:t>
      </w:r>
      <w:r>
        <w:rPr>
          <w:rFonts w:ascii="宋体" w:eastAsia="宋体" w:hAnsi="宋体" w:cs="宋体" w:hint="eastAsia"/>
          <w:color w:val="333333"/>
          <w:szCs w:val="24"/>
          <w:shd w:val="clear" w:color="auto" w:fill="FFFFFF"/>
        </w:rPr>
        <w:t>下列各项不属于会计政策变更：</w:t>
      </w:r>
      <w:r>
        <w:rPr>
          <w:rFonts w:ascii="宋体" w:eastAsia="宋体" w:hAnsi="宋体" w:cs="宋体" w:hint="eastAsia"/>
          <w:color w:val="333333"/>
          <w:szCs w:val="24"/>
          <w:shd w:val="clear" w:color="auto" w:fill="FFFFFF"/>
        </w:rPr>
        <w:t> </w:t>
      </w:r>
    </w:p>
    <w:p w:rsidR="00E50B7D" w:rsidRDefault="00D103A8">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（一）本期发生的交易或者事项与以前相比具有本质差别而采用新的会计政策。</w:t>
      </w:r>
      <w:r>
        <w:rPr>
          <w:rFonts w:ascii="宋体" w:eastAsia="宋体" w:hAnsi="宋体" w:cs="宋体" w:hint="eastAsia"/>
          <w:color w:val="333333"/>
          <w:szCs w:val="24"/>
          <w:shd w:val="clear" w:color="auto" w:fill="FFFFFF"/>
        </w:rPr>
        <w:t> </w:t>
      </w:r>
    </w:p>
    <w:p w:rsidR="00E50B7D" w:rsidRDefault="00D103A8">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（二）对初次发生的或不重要的交易或者事项采用</w:t>
      </w:r>
      <w:r>
        <w:rPr>
          <w:rFonts w:ascii="宋体" w:eastAsia="宋体" w:hAnsi="宋体" w:cs="宋体" w:hint="eastAsia"/>
          <w:color w:val="333333"/>
          <w:szCs w:val="24"/>
          <w:shd w:val="clear" w:color="auto" w:fill="FFFFFF"/>
        </w:rPr>
        <w:t>新的会计政策。</w:t>
      </w:r>
      <w:r>
        <w:rPr>
          <w:rFonts w:ascii="宋体" w:eastAsia="宋体" w:hAnsi="宋体" w:cs="宋体" w:hint="eastAsia"/>
          <w:color w:val="333333"/>
          <w:szCs w:val="24"/>
          <w:shd w:val="clear" w:color="auto" w:fill="FFFFFF"/>
        </w:rPr>
        <w:t> </w:t>
      </w:r>
    </w:p>
    <w:p w:rsidR="00E50B7D" w:rsidRDefault="00D103A8">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第六条</w:t>
      </w:r>
      <w:r>
        <w:rPr>
          <w:rFonts w:ascii="宋体" w:eastAsia="宋体" w:hAnsi="宋体" w:cs="宋体" w:hint="eastAsia"/>
          <w:color w:val="333333"/>
          <w:szCs w:val="24"/>
          <w:shd w:val="clear" w:color="auto" w:fill="FFFFFF"/>
        </w:rPr>
        <w:t>  </w:t>
      </w:r>
      <w:r>
        <w:rPr>
          <w:rFonts w:ascii="宋体" w:eastAsia="宋体" w:hAnsi="宋体" w:cs="宋体" w:hint="eastAsia"/>
          <w:color w:val="333333"/>
          <w:szCs w:val="24"/>
          <w:shd w:val="clear" w:color="auto" w:fill="FFFFFF"/>
        </w:rPr>
        <w:t>企业根据法律、行政法规或者国家统一的会计制度等要求变更会计政策的，应当按照国家相关会计规定执行。</w:t>
      </w:r>
      <w:r>
        <w:rPr>
          <w:rFonts w:ascii="宋体" w:eastAsia="宋体" w:hAnsi="宋体" w:cs="宋体" w:hint="eastAsia"/>
          <w:color w:val="333333"/>
          <w:szCs w:val="24"/>
          <w:shd w:val="clear" w:color="auto" w:fill="FFFFFF"/>
        </w:rPr>
        <w:t> </w:t>
      </w:r>
    </w:p>
    <w:p w:rsidR="00E50B7D" w:rsidRDefault="00D103A8">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会计政策变更能够提供更可靠、更相关的会计信息的，应当采用追溯调整法处理，将会计政策变更累积影响数调整列报前期最早期初留存收益，其他相关项目的期初余额和列报前期披露的其他比较数据也应当一并调整，但确定该项会计政策变更累积影响数不切实可行的除外。</w:t>
      </w:r>
      <w:r>
        <w:rPr>
          <w:rFonts w:ascii="宋体" w:eastAsia="宋体" w:hAnsi="宋体" w:cs="宋体" w:hint="eastAsia"/>
          <w:color w:val="333333"/>
          <w:szCs w:val="24"/>
          <w:shd w:val="clear" w:color="auto" w:fill="FFFFFF"/>
        </w:rPr>
        <w:t> </w:t>
      </w:r>
    </w:p>
    <w:p w:rsidR="00E50B7D" w:rsidRDefault="00D103A8">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追溯调整法，是指对某项交易或事项变更会计政策，视同该项交易或事项初次发生时即采用变更后的会计政策，并以此对财务报表相关项目进行</w:t>
      </w:r>
      <w:r>
        <w:rPr>
          <w:rFonts w:ascii="宋体" w:eastAsia="宋体" w:hAnsi="宋体" w:cs="宋体" w:hint="eastAsia"/>
          <w:color w:val="333333"/>
          <w:szCs w:val="24"/>
          <w:shd w:val="clear" w:color="auto" w:fill="FFFFFF"/>
        </w:rPr>
        <w:t>调整的方法。</w:t>
      </w:r>
      <w:r>
        <w:rPr>
          <w:rFonts w:ascii="宋体" w:eastAsia="宋体" w:hAnsi="宋体" w:cs="宋体" w:hint="eastAsia"/>
          <w:color w:val="333333"/>
          <w:szCs w:val="24"/>
          <w:shd w:val="clear" w:color="auto" w:fill="FFFFFF"/>
        </w:rPr>
        <w:t> </w:t>
      </w:r>
    </w:p>
    <w:p w:rsidR="00E50B7D" w:rsidRDefault="00D103A8">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lastRenderedPageBreak/>
        <w:t xml:space="preserve">　　会计政策变更累积影响数，是指按照变更后的会计政策对以前各期追溯计算的列报前期最早期初留存收益应有金额与现有金额之间的差额。</w:t>
      </w:r>
      <w:r>
        <w:rPr>
          <w:rFonts w:ascii="宋体" w:eastAsia="宋体" w:hAnsi="宋体" w:cs="宋体" w:hint="eastAsia"/>
          <w:color w:val="333333"/>
          <w:szCs w:val="24"/>
          <w:shd w:val="clear" w:color="auto" w:fill="FFFFFF"/>
        </w:rPr>
        <w:t> </w:t>
      </w:r>
    </w:p>
    <w:p w:rsidR="00E50B7D" w:rsidRDefault="00D103A8">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第七条</w:t>
      </w:r>
      <w:r>
        <w:rPr>
          <w:rFonts w:ascii="宋体" w:eastAsia="宋体" w:hAnsi="宋体" w:cs="宋体" w:hint="eastAsia"/>
          <w:color w:val="333333"/>
          <w:szCs w:val="24"/>
          <w:shd w:val="clear" w:color="auto" w:fill="FFFFFF"/>
        </w:rPr>
        <w:t>  </w:t>
      </w:r>
      <w:r>
        <w:rPr>
          <w:rFonts w:ascii="宋体" w:eastAsia="宋体" w:hAnsi="宋体" w:cs="宋体" w:hint="eastAsia"/>
          <w:color w:val="333333"/>
          <w:szCs w:val="24"/>
          <w:shd w:val="clear" w:color="auto" w:fill="FFFFFF"/>
        </w:rPr>
        <w:t>确定会计政策变更对列报前期影响数不切实可行的，应当从可追溯调整的最早期间期初开始应用变更后的会计政策。</w:t>
      </w:r>
      <w:r>
        <w:rPr>
          <w:rFonts w:ascii="宋体" w:eastAsia="宋体" w:hAnsi="宋体" w:cs="宋体" w:hint="eastAsia"/>
          <w:color w:val="333333"/>
          <w:szCs w:val="24"/>
          <w:shd w:val="clear" w:color="auto" w:fill="FFFFFF"/>
        </w:rPr>
        <w:t> </w:t>
      </w:r>
    </w:p>
    <w:p w:rsidR="00E50B7D" w:rsidRDefault="00D103A8">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在当期期初确定会计政策变更对以前各期累积影响数不切实可行的，应当采用未来适用法处理。</w:t>
      </w:r>
      <w:r>
        <w:rPr>
          <w:rFonts w:ascii="宋体" w:eastAsia="宋体" w:hAnsi="宋体" w:cs="宋体" w:hint="eastAsia"/>
          <w:color w:val="333333"/>
          <w:szCs w:val="24"/>
          <w:shd w:val="clear" w:color="auto" w:fill="FFFFFF"/>
        </w:rPr>
        <w:t> </w:t>
      </w:r>
    </w:p>
    <w:p w:rsidR="00E50B7D" w:rsidRDefault="00D103A8">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未来适用法，是指将变更后的会计政策应用于变更日及以后发生的交易或者事项，或者在会计估计变更当期和未来期间确认会计估计变更影响数的方法。</w:t>
      </w:r>
      <w:r>
        <w:rPr>
          <w:rFonts w:ascii="宋体" w:eastAsia="宋体" w:hAnsi="宋体" w:cs="宋体" w:hint="eastAsia"/>
          <w:color w:val="333333"/>
          <w:szCs w:val="24"/>
          <w:shd w:val="clear" w:color="auto" w:fill="FFFFFF"/>
        </w:rPr>
        <w:t> </w:t>
      </w:r>
    </w:p>
    <w:p w:rsidR="00E50B7D" w:rsidRDefault="00D103A8">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  </w:t>
      </w:r>
    </w:p>
    <w:p w:rsidR="00E50B7D" w:rsidRDefault="00D103A8">
      <w:pPr>
        <w:pStyle w:val="a5"/>
        <w:widowControl/>
        <w:spacing w:beforeAutospacing="0" w:after="150" w:afterAutospacing="0" w:line="23" w:lineRule="atLeast"/>
        <w:jc w:val="center"/>
        <w:rPr>
          <w:rFonts w:ascii="宋体" w:eastAsia="宋体" w:hAnsi="宋体" w:cs="宋体"/>
          <w:szCs w:val="24"/>
        </w:rPr>
      </w:pPr>
      <w:r>
        <w:rPr>
          <w:rFonts w:ascii="宋体" w:eastAsia="宋体" w:hAnsi="宋体" w:cs="宋体" w:hint="eastAsia"/>
          <w:b/>
          <w:bCs/>
          <w:color w:val="333333"/>
          <w:szCs w:val="24"/>
          <w:shd w:val="clear" w:color="auto" w:fill="FFFFFF"/>
        </w:rPr>
        <w:t>第三章</w:t>
      </w:r>
      <w:r>
        <w:rPr>
          <w:rFonts w:ascii="宋体" w:eastAsia="宋体" w:hAnsi="宋体" w:cs="宋体" w:hint="eastAsia"/>
          <w:b/>
          <w:bCs/>
          <w:color w:val="333333"/>
          <w:szCs w:val="24"/>
          <w:shd w:val="clear" w:color="auto" w:fill="FFFFFF"/>
        </w:rPr>
        <w:t xml:space="preserve">  </w:t>
      </w:r>
      <w:r>
        <w:rPr>
          <w:rFonts w:ascii="宋体" w:eastAsia="宋体" w:hAnsi="宋体" w:cs="宋体" w:hint="eastAsia"/>
          <w:b/>
          <w:bCs/>
          <w:color w:val="333333"/>
          <w:szCs w:val="24"/>
          <w:shd w:val="clear" w:color="auto" w:fill="FFFFFF"/>
        </w:rPr>
        <w:t>会计估计变更</w:t>
      </w:r>
      <w:r>
        <w:rPr>
          <w:rFonts w:ascii="宋体" w:eastAsia="宋体" w:hAnsi="宋体" w:cs="宋体" w:hint="eastAsia"/>
          <w:color w:val="333333"/>
          <w:szCs w:val="24"/>
          <w:shd w:val="clear" w:color="auto" w:fill="FFFFFF"/>
        </w:rPr>
        <w:t>  </w:t>
      </w:r>
    </w:p>
    <w:p w:rsidR="00E50B7D" w:rsidRDefault="00D103A8">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第八条</w:t>
      </w:r>
      <w:r>
        <w:rPr>
          <w:rFonts w:ascii="宋体" w:eastAsia="宋体" w:hAnsi="宋体" w:cs="宋体" w:hint="eastAsia"/>
          <w:color w:val="333333"/>
          <w:szCs w:val="24"/>
          <w:shd w:val="clear" w:color="auto" w:fill="FFFFFF"/>
        </w:rPr>
        <w:t>  </w:t>
      </w:r>
      <w:r>
        <w:rPr>
          <w:rFonts w:ascii="宋体" w:eastAsia="宋体" w:hAnsi="宋体" w:cs="宋体" w:hint="eastAsia"/>
          <w:color w:val="333333"/>
          <w:szCs w:val="24"/>
          <w:shd w:val="clear" w:color="auto" w:fill="FFFFFF"/>
        </w:rPr>
        <w:t>企业据以进行估计的基础发生了变化，或者由于取得新信息、积累更多经验以及后来的发展变化，可能需要对会计估计进行修订。会计估计变更的依据应当真实、可靠。</w:t>
      </w:r>
      <w:r>
        <w:rPr>
          <w:rFonts w:ascii="宋体" w:eastAsia="宋体" w:hAnsi="宋体" w:cs="宋体" w:hint="eastAsia"/>
          <w:color w:val="333333"/>
          <w:szCs w:val="24"/>
          <w:shd w:val="clear" w:color="auto" w:fill="FFFFFF"/>
        </w:rPr>
        <w:t> </w:t>
      </w:r>
    </w:p>
    <w:p w:rsidR="00E50B7D" w:rsidRDefault="00D103A8">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会计估计变更，是指由于资产和负债的当前状况及预期经济利益和义务发生了变化，从而对资产或负债的账面价值或者资产的定期消耗金额进行调整。</w:t>
      </w:r>
      <w:r>
        <w:rPr>
          <w:rFonts w:ascii="宋体" w:eastAsia="宋体" w:hAnsi="宋体" w:cs="宋体" w:hint="eastAsia"/>
          <w:color w:val="333333"/>
          <w:szCs w:val="24"/>
          <w:shd w:val="clear" w:color="auto" w:fill="FFFFFF"/>
        </w:rPr>
        <w:t> </w:t>
      </w:r>
    </w:p>
    <w:p w:rsidR="00E50B7D" w:rsidRDefault="00D103A8">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第九条</w:t>
      </w:r>
      <w:r>
        <w:rPr>
          <w:rFonts w:ascii="宋体" w:eastAsia="宋体" w:hAnsi="宋体" w:cs="宋体" w:hint="eastAsia"/>
          <w:color w:val="333333"/>
          <w:szCs w:val="24"/>
          <w:shd w:val="clear" w:color="auto" w:fill="FFFFFF"/>
        </w:rPr>
        <w:t>  </w:t>
      </w:r>
      <w:r>
        <w:rPr>
          <w:rFonts w:ascii="宋体" w:eastAsia="宋体" w:hAnsi="宋体" w:cs="宋体" w:hint="eastAsia"/>
          <w:color w:val="333333"/>
          <w:szCs w:val="24"/>
          <w:shd w:val="clear" w:color="auto" w:fill="FFFFFF"/>
        </w:rPr>
        <w:t>企业对会计估计变更应当采用未来适用法处理。</w:t>
      </w:r>
      <w:r>
        <w:rPr>
          <w:rFonts w:ascii="宋体" w:eastAsia="宋体" w:hAnsi="宋体" w:cs="宋体" w:hint="eastAsia"/>
          <w:color w:val="333333"/>
          <w:szCs w:val="24"/>
          <w:shd w:val="clear" w:color="auto" w:fill="FFFFFF"/>
        </w:rPr>
        <w:t> </w:t>
      </w:r>
    </w:p>
    <w:p w:rsidR="00E50B7D" w:rsidRDefault="00D103A8">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会计估计变更仅影响变更当期的，其影响数应当在变更当期予以确认；既影响变更当期又影响未来期间的，其影响数应当在变更当期和未来期间予以确认。</w:t>
      </w:r>
      <w:r>
        <w:rPr>
          <w:rFonts w:ascii="宋体" w:eastAsia="宋体" w:hAnsi="宋体" w:cs="宋体" w:hint="eastAsia"/>
          <w:color w:val="333333"/>
          <w:szCs w:val="24"/>
          <w:shd w:val="clear" w:color="auto" w:fill="FFFFFF"/>
        </w:rPr>
        <w:t> </w:t>
      </w:r>
    </w:p>
    <w:p w:rsidR="00E50B7D" w:rsidRDefault="00D103A8">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第十条</w:t>
      </w:r>
      <w:r>
        <w:rPr>
          <w:rFonts w:ascii="宋体" w:eastAsia="宋体" w:hAnsi="宋体" w:cs="宋体" w:hint="eastAsia"/>
          <w:color w:val="333333"/>
          <w:szCs w:val="24"/>
          <w:shd w:val="clear" w:color="auto" w:fill="FFFFFF"/>
        </w:rPr>
        <w:t>  </w:t>
      </w:r>
      <w:r>
        <w:rPr>
          <w:rFonts w:ascii="宋体" w:eastAsia="宋体" w:hAnsi="宋体" w:cs="宋体" w:hint="eastAsia"/>
          <w:color w:val="333333"/>
          <w:szCs w:val="24"/>
          <w:shd w:val="clear" w:color="auto" w:fill="FFFFFF"/>
        </w:rPr>
        <w:t>企业难以对某项变更区分为会计政策变更或会计估计变更的，应当将其作为会计估计变更处理。</w:t>
      </w:r>
      <w:r>
        <w:rPr>
          <w:rFonts w:ascii="宋体" w:eastAsia="宋体" w:hAnsi="宋体" w:cs="宋体" w:hint="eastAsia"/>
          <w:color w:val="333333"/>
          <w:szCs w:val="24"/>
          <w:shd w:val="clear" w:color="auto" w:fill="FFFFFF"/>
        </w:rPr>
        <w:t> </w:t>
      </w:r>
    </w:p>
    <w:p w:rsidR="00E50B7D" w:rsidRDefault="00D103A8">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  </w:t>
      </w:r>
    </w:p>
    <w:p w:rsidR="00E50B7D" w:rsidRDefault="00D103A8">
      <w:pPr>
        <w:pStyle w:val="a5"/>
        <w:widowControl/>
        <w:spacing w:beforeAutospacing="0" w:after="150" w:afterAutospacing="0" w:line="23" w:lineRule="atLeast"/>
        <w:jc w:val="center"/>
        <w:rPr>
          <w:rFonts w:ascii="宋体" w:eastAsia="宋体" w:hAnsi="宋体" w:cs="宋体"/>
          <w:szCs w:val="24"/>
        </w:rPr>
      </w:pPr>
      <w:r>
        <w:rPr>
          <w:rFonts w:ascii="宋体" w:eastAsia="宋体" w:hAnsi="宋体" w:cs="宋体" w:hint="eastAsia"/>
          <w:b/>
          <w:bCs/>
          <w:color w:val="333333"/>
          <w:szCs w:val="24"/>
          <w:shd w:val="clear" w:color="auto" w:fill="FFFFFF"/>
        </w:rPr>
        <w:t>第四章</w:t>
      </w:r>
      <w:r>
        <w:rPr>
          <w:rFonts w:ascii="宋体" w:eastAsia="宋体" w:hAnsi="宋体" w:cs="宋体" w:hint="eastAsia"/>
          <w:b/>
          <w:bCs/>
          <w:color w:val="333333"/>
          <w:szCs w:val="24"/>
          <w:shd w:val="clear" w:color="auto" w:fill="FFFFFF"/>
        </w:rPr>
        <w:t xml:space="preserve">  </w:t>
      </w:r>
      <w:r>
        <w:rPr>
          <w:rFonts w:ascii="宋体" w:eastAsia="宋体" w:hAnsi="宋体" w:cs="宋体" w:hint="eastAsia"/>
          <w:b/>
          <w:bCs/>
          <w:color w:val="333333"/>
          <w:szCs w:val="24"/>
          <w:shd w:val="clear" w:color="auto" w:fill="FFFFFF"/>
        </w:rPr>
        <w:t>前期差错更正</w:t>
      </w:r>
      <w:r>
        <w:rPr>
          <w:rFonts w:ascii="宋体" w:eastAsia="宋体" w:hAnsi="宋体" w:cs="宋体" w:hint="eastAsia"/>
          <w:b/>
          <w:bCs/>
          <w:color w:val="333333"/>
          <w:szCs w:val="24"/>
          <w:shd w:val="clear" w:color="auto" w:fill="FFFFFF"/>
        </w:rPr>
        <w:t> </w:t>
      </w:r>
      <w:r>
        <w:rPr>
          <w:rFonts w:ascii="宋体" w:eastAsia="宋体" w:hAnsi="宋体" w:cs="宋体" w:hint="eastAsia"/>
          <w:color w:val="333333"/>
          <w:szCs w:val="24"/>
          <w:shd w:val="clear" w:color="auto" w:fill="FFFFFF"/>
        </w:rPr>
        <w:t> </w:t>
      </w:r>
    </w:p>
    <w:p w:rsidR="00E50B7D" w:rsidRDefault="00D103A8">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第十一条</w:t>
      </w:r>
      <w:r>
        <w:rPr>
          <w:rFonts w:ascii="宋体" w:eastAsia="宋体" w:hAnsi="宋体" w:cs="宋体" w:hint="eastAsia"/>
          <w:b/>
          <w:bCs/>
          <w:color w:val="333333"/>
          <w:szCs w:val="24"/>
          <w:shd w:val="clear" w:color="auto" w:fill="FFFFFF"/>
        </w:rPr>
        <w:t>  </w:t>
      </w:r>
      <w:r>
        <w:rPr>
          <w:rFonts w:ascii="宋体" w:eastAsia="宋体" w:hAnsi="宋体" w:cs="宋体" w:hint="eastAsia"/>
          <w:color w:val="333333"/>
          <w:szCs w:val="24"/>
          <w:shd w:val="clear" w:color="auto" w:fill="FFFFFF"/>
        </w:rPr>
        <w:t>前期差错，是指由于没有运用或错误运用下列两种信息，而对前期财务报表造成省略或错报。</w:t>
      </w:r>
      <w:r>
        <w:rPr>
          <w:rFonts w:ascii="宋体" w:eastAsia="宋体" w:hAnsi="宋体" w:cs="宋体" w:hint="eastAsia"/>
          <w:color w:val="333333"/>
          <w:szCs w:val="24"/>
          <w:shd w:val="clear" w:color="auto" w:fill="FFFFFF"/>
        </w:rPr>
        <w:t> </w:t>
      </w:r>
    </w:p>
    <w:p w:rsidR="00E50B7D" w:rsidRDefault="00D103A8">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（一）编报前期财务报表时预期能够取得并加以考虑的可靠信息。</w:t>
      </w:r>
      <w:r>
        <w:rPr>
          <w:rFonts w:ascii="宋体" w:eastAsia="宋体" w:hAnsi="宋体" w:cs="宋体" w:hint="eastAsia"/>
          <w:color w:val="333333"/>
          <w:szCs w:val="24"/>
          <w:shd w:val="clear" w:color="auto" w:fill="FFFFFF"/>
        </w:rPr>
        <w:t> </w:t>
      </w:r>
    </w:p>
    <w:p w:rsidR="00E50B7D" w:rsidRDefault="00D103A8">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（二）前期财务报告批准报出时能够取得的可靠信息。</w:t>
      </w:r>
      <w:r>
        <w:rPr>
          <w:rFonts w:ascii="宋体" w:eastAsia="宋体" w:hAnsi="宋体" w:cs="宋体" w:hint="eastAsia"/>
          <w:color w:val="333333"/>
          <w:szCs w:val="24"/>
          <w:shd w:val="clear" w:color="auto" w:fill="FFFFFF"/>
        </w:rPr>
        <w:t> </w:t>
      </w:r>
    </w:p>
    <w:p w:rsidR="00E50B7D" w:rsidRDefault="00D103A8">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前期差错通常包括计算错误、应用会计政策错误、疏忽或曲解事实以及舞弊产生的影响以及存货、固定资产盘盈等。</w:t>
      </w:r>
      <w:r>
        <w:rPr>
          <w:rFonts w:ascii="宋体" w:eastAsia="宋体" w:hAnsi="宋体" w:cs="宋体" w:hint="eastAsia"/>
          <w:color w:val="333333"/>
          <w:szCs w:val="24"/>
          <w:shd w:val="clear" w:color="auto" w:fill="FFFFFF"/>
        </w:rPr>
        <w:t> </w:t>
      </w:r>
    </w:p>
    <w:p w:rsidR="00E50B7D" w:rsidRDefault="00D103A8">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第十二条</w:t>
      </w:r>
      <w:r>
        <w:rPr>
          <w:rFonts w:ascii="宋体" w:eastAsia="宋体" w:hAnsi="宋体" w:cs="宋体" w:hint="eastAsia"/>
          <w:color w:val="333333"/>
          <w:szCs w:val="24"/>
          <w:shd w:val="clear" w:color="auto" w:fill="FFFFFF"/>
        </w:rPr>
        <w:t>  </w:t>
      </w:r>
      <w:r>
        <w:rPr>
          <w:rFonts w:ascii="宋体" w:eastAsia="宋体" w:hAnsi="宋体" w:cs="宋体" w:hint="eastAsia"/>
          <w:color w:val="333333"/>
          <w:szCs w:val="24"/>
          <w:shd w:val="clear" w:color="auto" w:fill="FFFFFF"/>
        </w:rPr>
        <w:t>企业应当采用追溯重述法更正重要的前期差错，但确定前期差错累积影响数不切实可行的除外。</w:t>
      </w:r>
      <w:r>
        <w:rPr>
          <w:rFonts w:ascii="宋体" w:eastAsia="宋体" w:hAnsi="宋体" w:cs="宋体" w:hint="eastAsia"/>
          <w:color w:val="333333"/>
          <w:szCs w:val="24"/>
          <w:shd w:val="clear" w:color="auto" w:fill="FFFFFF"/>
        </w:rPr>
        <w:t> </w:t>
      </w:r>
    </w:p>
    <w:p w:rsidR="00E50B7D" w:rsidRDefault="00D103A8">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追溯重述法，是指在发现前期差错时，视同该项前期差错从未发生过，从而对财务报表相关项目进行更正的方法。</w:t>
      </w:r>
      <w:r>
        <w:rPr>
          <w:rFonts w:ascii="宋体" w:eastAsia="宋体" w:hAnsi="宋体" w:cs="宋体" w:hint="eastAsia"/>
          <w:color w:val="333333"/>
          <w:szCs w:val="24"/>
          <w:shd w:val="clear" w:color="auto" w:fill="FFFFFF"/>
        </w:rPr>
        <w:t> </w:t>
      </w:r>
    </w:p>
    <w:p w:rsidR="00E50B7D" w:rsidRDefault="00D103A8">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lastRenderedPageBreak/>
        <w:t xml:space="preserve">　　第十三条</w:t>
      </w:r>
      <w:r>
        <w:rPr>
          <w:rFonts w:ascii="宋体" w:eastAsia="宋体" w:hAnsi="宋体" w:cs="宋体" w:hint="eastAsia"/>
          <w:color w:val="333333"/>
          <w:szCs w:val="24"/>
          <w:shd w:val="clear" w:color="auto" w:fill="FFFFFF"/>
        </w:rPr>
        <w:t>  </w:t>
      </w:r>
      <w:r>
        <w:rPr>
          <w:rFonts w:ascii="宋体" w:eastAsia="宋体" w:hAnsi="宋体" w:cs="宋体" w:hint="eastAsia"/>
          <w:color w:val="333333"/>
          <w:szCs w:val="24"/>
          <w:shd w:val="clear" w:color="auto" w:fill="FFFFFF"/>
        </w:rPr>
        <w:t>确定前期差错影响数不切实可行的，可以从可追溯重述的最早期间开始调整留存收益的期初余额，财务报表其他相关项目的期初余额也应当一并调整，也可以采用未来适用法。</w:t>
      </w:r>
      <w:r>
        <w:rPr>
          <w:rFonts w:ascii="宋体" w:eastAsia="宋体" w:hAnsi="宋体" w:cs="宋体" w:hint="eastAsia"/>
          <w:color w:val="333333"/>
          <w:szCs w:val="24"/>
          <w:shd w:val="clear" w:color="auto" w:fill="FFFFFF"/>
        </w:rPr>
        <w:t> </w:t>
      </w:r>
    </w:p>
    <w:p w:rsidR="00E50B7D" w:rsidRDefault="00D103A8">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第十四条</w:t>
      </w:r>
      <w:r>
        <w:rPr>
          <w:rFonts w:ascii="宋体" w:eastAsia="宋体" w:hAnsi="宋体" w:cs="宋体" w:hint="eastAsia"/>
          <w:color w:val="333333"/>
          <w:szCs w:val="24"/>
          <w:shd w:val="clear" w:color="auto" w:fill="FFFFFF"/>
        </w:rPr>
        <w:t>  </w:t>
      </w:r>
      <w:r>
        <w:rPr>
          <w:rFonts w:ascii="宋体" w:eastAsia="宋体" w:hAnsi="宋体" w:cs="宋体" w:hint="eastAsia"/>
          <w:color w:val="333333"/>
          <w:szCs w:val="24"/>
          <w:shd w:val="clear" w:color="auto" w:fill="FFFFFF"/>
        </w:rPr>
        <w:t>企业</w:t>
      </w:r>
      <w:r>
        <w:rPr>
          <w:rFonts w:ascii="宋体" w:eastAsia="宋体" w:hAnsi="宋体" w:cs="宋体" w:hint="eastAsia"/>
          <w:color w:val="333333"/>
          <w:szCs w:val="24"/>
          <w:shd w:val="clear" w:color="auto" w:fill="FFFFFF"/>
        </w:rPr>
        <w:t>应当在重要的前期差错发现当期的财务报表中，调整前期比较数据。</w:t>
      </w:r>
      <w:r>
        <w:rPr>
          <w:rFonts w:ascii="宋体" w:eastAsia="宋体" w:hAnsi="宋体" w:cs="宋体" w:hint="eastAsia"/>
          <w:color w:val="333333"/>
          <w:szCs w:val="24"/>
          <w:shd w:val="clear" w:color="auto" w:fill="FFFFFF"/>
        </w:rPr>
        <w:t> </w:t>
      </w:r>
    </w:p>
    <w:p w:rsidR="00E50B7D" w:rsidRDefault="00D103A8">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w:t>
      </w:r>
      <w:r>
        <w:rPr>
          <w:rFonts w:ascii="宋体" w:eastAsia="宋体" w:hAnsi="宋体" w:cs="宋体" w:hint="eastAsia"/>
          <w:b/>
          <w:bCs/>
          <w:color w:val="333333"/>
          <w:szCs w:val="24"/>
          <w:shd w:val="clear" w:color="auto" w:fill="FFFFFF"/>
        </w:rPr>
        <w:t> </w:t>
      </w:r>
      <w:r>
        <w:rPr>
          <w:rFonts w:ascii="宋体" w:eastAsia="宋体" w:hAnsi="宋体" w:cs="宋体" w:hint="eastAsia"/>
          <w:color w:val="333333"/>
          <w:szCs w:val="24"/>
          <w:shd w:val="clear" w:color="auto" w:fill="FFFFFF"/>
        </w:rPr>
        <w:t> </w:t>
      </w:r>
    </w:p>
    <w:p w:rsidR="00E50B7D" w:rsidRDefault="00D103A8">
      <w:pPr>
        <w:pStyle w:val="a5"/>
        <w:widowControl/>
        <w:spacing w:beforeAutospacing="0" w:after="150" w:afterAutospacing="0" w:line="23" w:lineRule="atLeast"/>
        <w:jc w:val="center"/>
        <w:rPr>
          <w:rFonts w:ascii="宋体" w:eastAsia="宋体" w:hAnsi="宋体" w:cs="宋体"/>
          <w:szCs w:val="24"/>
        </w:rPr>
      </w:pPr>
      <w:r>
        <w:rPr>
          <w:rFonts w:ascii="宋体" w:eastAsia="宋体" w:hAnsi="宋体" w:cs="宋体" w:hint="eastAsia"/>
          <w:b/>
          <w:bCs/>
          <w:color w:val="333333"/>
          <w:szCs w:val="24"/>
          <w:shd w:val="clear" w:color="auto" w:fill="FFFFFF"/>
        </w:rPr>
        <w:t>第五章</w:t>
      </w:r>
      <w:r>
        <w:rPr>
          <w:rFonts w:ascii="宋体" w:eastAsia="宋体" w:hAnsi="宋体" w:cs="宋体" w:hint="eastAsia"/>
          <w:b/>
          <w:bCs/>
          <w:color w:val="333333"/>
          <w:szCs w:val="24"/>
          <w:shd w:val="clear" w:color="auto" w:fill="FFFFFF"/>
        </w:rPr>
        <w:t xml:space="preserve">  </w:t>
      </w:r>
      <w:r>
        <w:rPr>
          <w:rFonts w:ascii="宋体" w:eastAsia="宋体" w:hAnsi="宋体" w:cs="宋体" w:hint="eastAsia"/>
          <w:b/>
          <w:bCs/>
          <w:color w:val="333333"/>
          <w:szCs w:val="24"/>
          <w:shd w:val="clear" w:color="auto" w:fill="FFFFFF"/>
        </w:rPr>
        <w:t>披露</w:t>
      </w:r>
      <w:r>
        <w:rPr>
          <w:rFonts w:ascii="宋体" w:eastAsia="宋体" w:hAnsi="宋体" w:cs="宋体" w:hint="eastAsia"/>
          <w:b/>
          <w:bCs/>
          <w:color w:val="333333"/>
          <w:szCs w:val="24"/>
          <w:shd w:val="clear" w:color="auto" w:fill="FFFFFF"/>
        </w:rPr>
        <w:t> </w:t>
      </w:r>
      <w:r>
        <w:rPr>
          <w:rFonts w:ascii="宋体" w:eastAsia="宋体" w:hAnsi="宋体" w:cs="宋体" w:hint="eastAsia"/>
          <w:color w:val="333333"/>
          <w:szCs w:val="24"/>
          <w:shd w:val="clear" w:color="auto" w:fill="FFFFFF"/>
        </w:rPr>
        <w:t> </w:t>
      </w:r>
    </w:p>
    <w:p w:rsidR="00E50B7D" w:rsidRDefault="00D103A8">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第十五条</w:t>
      </w:r>
      <w:r>
        <w:rPr>
          <w:rFonts w:ascii="宋体" w:eastAsia="宋体" w:hAnsi="宋体" w:cs="宋体" w:hint="eastAsia"/>
          <w:color w:val="333333"/>
          <w:szCs w:val="24"/>
          <w:shd w:val="clear" w:color="auto" w:fill="FFFFFF"/>
        </w:rPr>
        <w:t>  </w:t>
      </w:r>
      <w:r>
        <w:rPr>
          <w:rFonts w:ascii="宋体" w:eastAsia="宋体" w:hAnsi="宋体" w:cs="宋体" w:hint="eastAsia"/>
          <w:color w:val="333333"/>
          <w:szCs w:val="24"/>
          <w:shd w:val="clear" w:color="auto" w:fill="FFFFFF"/>
        </w:rPr>
        <w:t>企业应当在附注中披露与会计政策变更有关的下列信息：</w:t>
      </w:r>
      <w:r>
        <w:rPr>
          <w:rFonts w:ascii="宋体" w:eastAsia="宋体" w:hAnsi="宋体" w:cs="宋体" w:hint="eastAsia"/>
          <w:color w:val="333333"/>
          <w:szCs w:val="24"/>
          <w:shd w:val="clear" w:color="auto" w:fill="FFFFFF"/>
        </w:rPr>
        <w:t> </w:t>
      </w:r>
    </w:p>
    <w:p w:rsidR="00E50B7D" w:rsidRDefault="00D103A8">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（一）会计政策变更的性质、内容和原因。</w:t>
      </w:r>
      <w:r>
        <w:rPr>
          <w:rFonts w:ascii="宋体" w:eastAsia="宋体" w:hAnsi="宋体" w:cs="宋体" w:hint="eastAsia"/>
          <w:color w:val="333333"/>
          <w:szCs w:val="24"/>
          <w:shd w:val="clear" w:color="auto" w:fill="FFFFFF"/>
        </w:rPr>
        <w:t> </w:t>
      </w:r>
    </w:p>
    <w:p w:rsidR="00E50B7D" w:rsidRDefault="00D103A8">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（二）当期和各个列报前期财务报表中受影响的项目名称和调整金额。</w:t>
      </w:r>
      <w:r>
        <w:rPr>
          <w:rFonts w:ascii="宋体" w:eastAsia="宋体" w:hAnsi="宋体" w:cs="宋体" w:hint="eastAsia"/>
          <w:color w:val="333333"/>
          <w:szCs w:val="24"/>
          <w:shd w:val="clear" w:color="auto" w:fill="FFFFFF"/>
        </w:rPr>
        <w:t> </w:t>
      </w:r>
    </w:p>
    <w:p w:rsidR="00E50B7D" w:rsidRDefault="00D103A8">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（三）无法进行追溯调整的，说明该事实和原因以及开始应用变更后的会计政策的时点、具体应用情况。</w:t>
      </w:r>
      <w:r>
        <w:rPr>
          <w:rFonts w:ascii="宋体" w:eastAsia="宋体" w:hAnsi="宋体" w:cs="宋体" w:hint="eastAsia"/>
          <w:color w:val="333333"/>
          <w:szCs w:val="24"/>
          <w:shd w:val="clear" w:color="auto" w:fill="FFFFFF"/>
        </w:rPr>
        <w:t> </w:t>
      </w:r>
    </w:p>
    <w:p w:rsidR="00E50B7D" w:rsidRDefault="00D103A8">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第十六条</w:t>
      </w:r>
      <w:r>
        <w:rPr>
          <w:rFonts w:ascii="宋体" w:eastAsia="宋体" w:hAnsi="宋体" w:cs="宋体" w:hint="eastAsia"/>
          <w:color w:val="333333"/>
          <w:szCs w:val="24"/>
          <w:shd w:val="clear" w:color="auto" w:fill="FFFFFF"/>
        </w:rPr>
        <w:t>  </w:t>
      </w:r>
      <w:r>
        <w:rPr>
          <w:rFonts w:ascii="宋体" w:eastAsia="宋体" w:hAnsi="宋体" w:cs="宋体" w:hint="eastAsia"/>
          <w:color w:val="333333"/>
          <w:szCs w:val="24"/>
          <w:shd w:val="clear" w:color="auto" w:fill="FFFFFF"/>
        </w:rPr>
        <w:t>企业应当在附注中披露与会计估计变更有关的下列信息：</w:t>
      </w:r>
      <w:r>
        <w:rPr>
          <w:rFonts w:ascii="宋体" w:eastAsia="宋体" w:hAnsi="宋体" w:cs="宋体" w:hint="eastAsia"/>
          <w:color w:val="333333"/>
          <w:szCs w:val="24"/>
          <w:shd w:val="clear" w:color="auto" w:fill="FFFFFF"/>
        </w:rPr>
        <w:t> </w:t>
      </w:r>
    </w:p>
    <w:p w:rsidR="00E50B7D" w:rsidRDefault="00D103A8">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（一）会计估计变更的内容和原因。</w:t>
      </w:r>
      <w:r>
        <w:rPr>
          <w:rFonts w:ascii="宋体" w:eastAsia="宋体" w:hAnsi="宋体" w:cs="宋体" w:hint="eastAsia"/>
          <w:color w:val="333333"/>
          <w:szCs w:val="24"/>
          <w:shd w:val="clear" w:color="auto" w:fill="FFFFFF"/>
        </w:rPr>
        <w:t> </w:t>
      </w:r>
    </w:p>
    <w:p w:rsidR="00E50B7D" w:rsidRDefault="00D103A8">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（二）会计估计变更</w:t>
      </w:r>
      <w:r>
        <w:rPr>
          <w:rFonts w:ascii="宋体" w:eastAsia="宋体" w:hAnsi="宋体" w:cs="宋体" w:hint="eastAsia"/>
          <w:color w:val="333333"/>
          <w:szCs w:val="24"/>
          <w:shd w:val="clear" w:color="auto" w:fill="FFFFFF"/>
        </w:rPr>
        <w:t>对当期和未来期间的影响数。</w:t>
      </w:r>
      <w:r>
        <w:rPr>
          <w:rFonts w:ascii="宋体" w:eastAsia="宋体" w:hAnsi="宋体" w:cs="宋体" w:hint="eastAsia"/>
          <w:color w:val="333333"/>
          <w:szCs w:val="24"/>
          <w:shd w:val="clear" w:color="auto" w:fill="FFFFFF"/>
        </w:rPr>
        <w:t> </w:t>
      </w:r>
    </w:p>
    <w:p w:rsidR="00E50B7D" w:rsidRDefault="00D103A8">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（三）会计估计变更的影响数不能确定的，披露这一事实和原因。</w:t>
      </w:r>
      <w:r>
        <w:rPr>
          <w:rFonts w:ascii="宋体" w:eastAsia="宋体" w:hAnsi="宋体" w:cs="宋体" w:hint="eastAsia"/>
          <w:color w:val="333333"/>
          <w:szCs w:val="24"/>
          <w:shd w:val="clear" w:color="auto" w:fill="FFFFFF"/>
        </w:rPr>
        <w:t> </w:t>
      </w:r>
    </w:p>
    <w:p w:rsidR="00E50B7D" w:rsidRDefault="00D103A8">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第十七条</w:t>
      </w:r>
      <w:r>
        <w:rPr>
          <w:rFonts w:ascii="宋体" w:eastAsia="宋体" w:hAnsi="宋体" w:cs="宋体" w:hint="eastAsia"/>
          <w:b/>
          <w:bCs/>
          <w:color w:val="333333"/>
          <w:szCs w:val="24"/>
          <w:shd w:val="clear" w:color="auto" w:fill="FFFFFF"/>
        </w:rPr>
        <w:t>  </w:t>
      </w:r>
      <w:r>
        <w:rPr>
          <w:rFonts w:ascii="宋体" w:eastAsia="宋体" w:hAnsi="宋体" w:cs="宋体" w:hint="eastAsia"/>
          <w:color w:val="333333"/>
          <w:szCs w:val="24"/>
          <w:shd w:val="clear" w:color="auto" w:fill="FFFFFF"/>
        </w:rPr>
        <w:t>企业应当在附注中披露与前期差错更正有关的下列信息：</w:t>
      </w:r>
      <w:r>
        <w:rPr>
          <w:rFonts w:ascii="宋体" w:eastAsia="宋体" w:hAnsi="宋体" w:cs="宋体" w:hint="eastAsia"/>
          <w:color w:val="333333"/>
          <w:szCs w:val="24"/>
          <w:shd w:val="clear" w:color="auto" w:fill="FFFFFF"/>
        </w:rPr>
        <w:t> </w:t>
      </w:r>
    </w:p>
    <w:p w:rsidR="00E50B7D" w:rsidRDefault="00D103A8">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（一）前期差错的性质。</w:t>
      </w:r>
      <w:r>
        <w:rPr>
          <w:rFonts w:ascii="宋体" w:eastAsia="宋体" w:hAnsi="宋体" w:cs="宋体" w:hint="eastAsia"/>
          <w:color w:val="333333"/>
          <w:szCs w:val="24"/>
          <w:shd w:val="clear" w:color="auto" w:fill="FFFFFF"/>
        </w:rPr>
        <w:t> </w:t>
      </w:r>
    </w:p>
    <w:p w:rsidR="00E50B7D" w:rsidRDefault="00D103A8">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（二）各个列报前期财务报表中受影响的项目名称和更正金额。</w:t>
      </w:r>
      <w:r>
        <w:rPr>
          <w:rFonts w:ascii="宋体" w:eastAsia="宋体" w:hAnsi="宋体" w:cs="宋体" w:hint="eastAsia"/>
          <w:color w:val="333333"/>
          <w:szCs w:val="24"/>
          <w:shd w:val="clear" w:color="auto" w:fill="FFFFFF"/>
        </w:rPr>
        <w:t> </w:t>
      </w:r>
    </w:p>
    <w:p w:rsidR="00E50B7D" w:rsidRDefault="00D103A8">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（三）无法进行追溯重述的，说明该事实和原因以及对前期差错开始进行更正的时点、具体更正情况。</w:t>
      </w:r>
      <w:r>
        <w:rPr>
          <w:rFonts w:ascii="宋体" w:eastAsia="宋体" w:hAnsi="宋体" w:cs="宋体" w:hint="eastAsia"/>
          <w:color w:val="333333"/>
          <w:szCs w:val="24"/>
          <w:shd w:val="clear" w:color="auto" w:fill="FFFFFF"/>
        </w:rPr>
        <w:t> </w:t>
      </w:r>
    </w:p>
    <w:p w:rsidR="00E50B7D" w:rsidRDefault="00D103A8">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第十八条</w:t>
      </w:r>
      <w:r>
        <w:rPr>
          <w:rFonts w:ascii="宋体" w:eastAsia="宋体" w:hAnsi="宋体" w:cs="宋体" w:hint="eastAsia"/>
          <w:color w:val="333333"/>
          <w:szCs w:val="24"/>
          <w:shd w:val="clear" w:color="auto" w:fill="FFFFFF"/>
        </w:rPr>
        <w:t>  </w:t>
      </w:r>
      <w:r>
        <w:rPr>
          <w:rFonts w:ascii="宋体" w:eastAsia="宋体" w:hAnsi="宋体" w:cs="宋体" w:hint="eastAsia"/>
          <w:color w:val="333333"/>
          <w:szCs w:val="24"/>
          <w:shd w:val="clear" w:color="auto" w:fill="FFFFFF"/>
        </w:rPr>
        <w:t>在以后期间的财务报表中，不需要重复披露在以前期间的附注中已披露的会计政策变更和前期差错更正的信息。</w:t>
      </w:r>
      <w:r>
        <w:rPr>
          <w:rFonts w:ascii="宋体" w:eastAsia="宋体" w:hAnsi="宋体" w:cs="宋体" w:hint="eastAsia"/>
          <w:color w:val="333333"/>
          <w:szCs w:val="24"/>
          <w:shd w:val="clear" w:color="auto" w:fill="FFFFFF"/>
        </w:rPr>
        <w:t> </w:t>
      </w:r>
    </w:p>
    <w:p w:rsidR="00E50B7D" w:rsidRDefault="00E50B7D">
      <w:pPr>
        <w:widowControl/>
        <w:shd w:val="clear" w:color="auto" w:fill="FFFFFF"/>
        <w:jc w:val="left"/>
        <w:rPr>
          <w:rFonts w:ascii="微软雅黑" w:eastAsia="微软雅黑" w:hAnsi="微软雅黑" w:cs="微软雅黑"/>
          <w:color w:val="333333"/>
          <w:szCs w:val="21"/>
        </w:rPr>
      </w:pPr>
    </w:p>
    <w:p w:rsidR="00E50B7D" w:rsidRDefault="00E50B7D"/>
    <w:sectPr w:rsidR="00E50B7D">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方正小标宋_GBK">
    <w:panose1 w:val="03000509000000000000"/>
    <w:charset w:val="86"/>
    <w:family w:val="script"/>
    <w:pitch w:val="fixed"/>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01AA"/>
    <w:rsid w:val="002E64C2"/>
    <w:rsid w:val="00561186"/>
    <w:rsid w:val="00C301AA"/>
    <w:rsid w:val="00D103A8"/>
    <w:rsid w:val="00E50B7D"/>
    <w:rsid w:val="1CF073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2">
    <w:name w:val="heading 2"/>
    <w:basedOn w:val="a"/>
    <w:next w:val="a"/>
    <w:uiPriority w:val="9"/>
    <w:semiHidden/>
    <w:unhideWhenUsed/>
    <w:qFormat/>
    <w:pPr>
      <w:spacing w:beforeAutospacing="1" w:afterAutospacing="1"/>
      <w:jc w:val="left"/>
      <w:outlineLvl w:val="1"/>
    </w:pPr>
    <w:rPr>
      <w:rFonts w:ascii="宋体" w:eastAsia="宋体" w:hAnsi="宋体" w:cs="Times New Roman" w:hint="eastAsia"/>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pPr>
      <w:tabs>
        <w:tab w:val="center" w:pos="4153"/>
        <w:tab w:val="right" w:pos="8306"/>
      </w:tabs>
      <w:snapToGrid w:val="0"/>
      <w:jc w:val="left"/>
    </w:pPr>
    <w:rPr>
      <w:sz w:val="18"/>
      <w:szCs w:val="18"/>
    </w:rPr>
  </w:style>
  <w:style w:type="paragraph" w:styleId="a4">
    <w:name w:val="header"/>
    <w:basedOn w:val="a"/>
    <w:link w:val="Char0"/>
    <w:uiPriority w:val="99"/>
    <w:unhideWhenUsed/>
    <w:pPr>
      <w:pBdr>
        <w:bottom w:val="single" w:sz="6" w:space="1" w:color="auto"/>
      </w:pBdr>
      <w:tabs>
        <w:tab w:val="center" w:pos="4153"/>
        <w:tab w:val="right" w:pos="8306"/>
      </w:tabs>
      <w:snapToGrid w:val="0"/>
      <w:jc w:val="center"/>
    </w:pPr>
    <w:rPr>
      <w:sz w:val="18"/>
      <w:szCs w:val="18"/>
    </w:rPr>
  </w:style>
  <w:style w:type="paragraph" w:styleId="a5">
    <w:name w:val="Normal (Web)"/>
    <w:basedOn w:val="a"/>
    <w:uiPriority w:val="99"/>
    <w:semiHidden/>
    <w:unhideWhenUsed/>
    <w:pPr>
      <w:spacing w:beforeAutospacing="1" w:afterAutospacing="1"/>
      <w:jc w:val="left"/>
    </w:pPr>
    <w:rPr>
      <w:rFonts w:cs="Times New Roman"/>
      <w:kern w:val="0"/>
      <w:sz w:val="24"/>
    </w:rPr>
  </w:style>
  <w:style w:type="character" w:customStyle="1" w:styleId="Char0">
    <w:name w:val="页眉 Char"/>
    <w:basedOn w:val="a0"/>
    <w:link w:val="a4"/>
    <w:uiPriority w:val="99"/>
    <w:rPr>
      <w:sz w:val="18"/>
      <w:szCs w:val="18"/>
    </w:rPr>
  </w:style>
  <w:style w:type="character" w:customStyle="1" w:styleId="Char">
    <w:name w:val="页脚 Char"/>
    <w:basedOn w:val="a0"/>
    <w:link w:val="a3"/>
    <w:uiPriority w:val="99"/>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2">
    <w:name w:val="heading 2"/>
    <w:basedOn w:val="a"/>
    <w:next w:val="a"/>
    <w:uiPriority w:val="9"/>
    <w:semiHidden/>
    <w:unhideWhenUsed/>
    <w:qFormat/>
    <w:pPr>
      <w:spacing w:beforeAutospacing="1" w:afterAutospacing="1"/>
      <w:jc w:val="left"/>
      <w:outlineLvl w:val="1"/>
    </w:pPr>
    <w:rPr>
      <w:rFonts w:ascii="宋体" w:eastAsia="宋体" w:hAnsi="宋体" w:cs="Times New Roman" w:hint="eastAsia"/>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pPr>
      <w:tabs>
        <w:tab w:val="center" w:pos="4153"/>
        <w:tab w:val="right" w:pos="8306"/>
      </w:tabs>
      <w:snapToGrid w:val="0"/>
      <w:jc w:val="left"/>
    </w:pPr>
    <w:rPr>
      <w:sz w:val="18"/>
      <w:szCs w:val="18"/>
    </w:rPr>
  </w:style>
  <w:style w:type="paragraph" w:styleId="a4">
    <w:name w:val="header"/>
    <w:basedOn w:val="a"/>
    <w:link w:val="Char0"/>
    <w:uiPriority w:val="99"/>
    <w:unhideWhenUsed/>
    <w:pPr>
      <w:pBdr>
        <w:bottom w:val="single" w:sz="6" w:space="1" w:color="auto"/>
      </w:pBdr>
      <w:tabs>
        <w:tab w:val="center" w:pos="4153"/>
        <w:tab w:val="right" w:pos="8306"/>
      </w:tabs>
      <w:snapToGrid w:val="0"/>
      <w:jc w:val="center"/>
    </w:pPr>
    <w:rPr>
      <w:sz w:val="18"/>
      <w:szCs w:val="18"/>
    </w:rPr>
  </w:style>
  <w:style w:type="paragraph" w:styleId="a5">
    <w:name w:val="Normal (Web)"/>
    <w:basedOn w:val="a"/>
    <w:uiPriority w:val="99"/>
    <w:semiHidden/>
    <w:unhideWhenUsed/>
    <w:pPr>
      <w:spacing w:beforeAutospacing="1" w:afterAutospacing="1"/>
      <w:jc w:val="left"/>
    </w:pPr>
    <w:rPr>
      <w:rFonts w:cs="Times New Roman"/>
      <w:kern w:val="0"/>
      <w:sz w:val="24"/>
    </w:rPr>
  </w:style>
  <w:style w:type="character" w:customStyle="1" w:styleId="Char0">
    <w:name w:val="页眉 Char"/>
    <w:basedOn w:val="a0"/>
    <w:link w:val="a4"/>
    <w:uiPriority w:val="99"/>
    <w:rPr>
      <w:sz w:val="18"/>
      <w:szCs w:val="18"/>
    </w:rPr>
  </w:style>
  <w:style w:type="character" w:customStyle="1" w:styleId="Char">
    <w:name w:val="页脚 Char"/>
    <w:basedOn w:val="a0"/>
    <w:link w:val="a3"/>
    <w:uiPriority w:val="9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3</Pages>
  <Words>330</Words>
  <Characters>1885</Characters>
  <Application>Microsoft Office Word</Application>
  <DocSecurity>0</DocSecurity>
  <Lines>15</Lines>
  <Paragraphs>4</Paragraphs>
  <ScaleCrop>false</ScaleCrop>
  <Company/>
  <LinksUpToDate>false</LinksUpToDate>
  <CharactersWithSpaces>2211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苏云</dc:creator>
  <cp:lastModifiedBy>苏云</cp:lastModifiedBy>
  <cp:revision>3</cp:revision>
  <dcterms:created xsi:type="dcterms:W3CDTF">2022-03-17T06:05:00Z</dcterms:created>
  <dcterms:modified xsi:type="dcterms:W3CDTF">2022-03-21T07:21:00Z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2052-11.8.2.11019</vt:lpwstr>
  </property>
  <property fmtid="{D5CDD505-2E9C-101B-9397-08002B2CF9AE}" pid="3" name="ICV">
    <vt:lpwstr>F58F35EFDF1F48EE8C6B64224DB830CC</vt:lpwstr>
  </property>
</Properties>
</file>