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02D" w:rsidRPr="00F523AF" w:rsidRDefault="00F523AF">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F523AF">
        <w:rPr>
          <w:rFonts w:ascii="方正小标宋_GBK" w:eastAsia="方正小标宋_GBK" w:hAnsi="微软雅黑" w:cs="微软雅黑"/>
          <w:color w:val="333333"/>
          <w:shd w:val="clear" w:color="auto" w:fill="FFFFFF"/>
        </w:rPr>
        <w:t>企业会计准则第</w:t>
      </w:r>
      <w:r w:rsidRPr="00F523AF">
        <w:rPr>
          <w:rFonts w:ascii="方正小标宋_GBK" w:eastAsia="方正小标宋_GBK" w:hAnsi="微软雅黑" w:cs="微软雅黑"/>
          <w:color w:val="333333"/>
          <w:shd w:val="clear" w:color="auto" w:fill="FFFFFF"/>
        </w:rPr>
        <w:t>1</w:t>
      </w:r>
      <w:r w:rsidRPr="00F523AF">
        <w:rPr>
          <w:rFonts w:ascii="方正小标宋_GBK" w:eastAsia="方正小标宋_GBK" w:hAnsi="微软雅黑" w:cs="微软雅黑"/>
          <w:color w:val="333333"/>
          <w:shd w:val="clear" w:color="auto" w:fill="FFFFFF"/>
        </w:rPr>
        <w:t>号——存货</w:t>
      </w:r>
    </w:p>
    <w:p w:rsidR="007D302D" w:rsidRDefault="007D302D">
      <w:pPr>
        <w:pStyle w:val="a5"/>
        <w:widowControl/>
        <w:spacing w:beforeAutospacing="0" w:after="150" w:afterAutospacing="0" w:line="23" w:lineRule="atLeast"/>
        <w:jc w:val="center"/>
        <w:rPr>
          <w:rFonts w:ascii="宋体" w:eastAsia="宋体" w:hAnsi="宋体" w:cs="宋体"/>
          <w:szCs w:val="24"/>
        </w:rPr>
      </w:pPr>
      <w:bookmarkStart w:id="0" w:name="_GoBack"/>
      <w:bookmarkEnd w:id="0"/>
    </w:p>
    <w:p w:rsidR="007D302D" w:rsidRDefault="00F523AF">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为了规范存货的确认、计量和相关信息的披露，根据《企业会计准则——基本准则》，制定本准则。</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下列各项适用其他相关会计准则：</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（一）消耗性生物资产，适用《企业会计准则第</w:t>
      </w:r>
      <w:r>
        <w:rPr>
          <w:rFonts w:ascii="宋体" w:eastAsia="宋体" w:hAnsi="宋体" w:cs="宋体" w:hint="eastAsia"/>
          <w:color w:val="333333"/>
          <w:szCs w:val="24"/>
          <w:shd w:val="clear" w:color="auto" w:fill="FFFFFF"/>
        </w:rPr>
        <w:t>5</w:t>
      </w:r>
      <w:r>
        <w:rPr>
          <w:rFonts w:ascii="宋体" w:eastAsia="宋体" w:hAnsi="宋体" w:cs="宋体" w:hint="eastAsia"/>
          <w:color w:val="333333"/>
          <w:szCs w:val="24"/>
          <w:shd w:val="clear" w:color="auto" w:fill="FFFFFF"/>
        </w:rPr>
        <w:t>号——生物资产》。</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（二）通过建造合同归集的存货成本，适用《企业会计准则第</w:t>
      </w:r>
      <w:r>
        <w:rPr>
          <w:rFonts w:ascii="宋体" w:eastAsia="宋体" w:hAnsi="宋体" w:cs="宋体" w:hint="eastAsia"/>
          <w:color w:val="333333"/>
          <w:szCs w:val="24"/>
          <w:shd w:val="clear" w:color="auto" w:fill="FFFFFF"/>
        </w:rPr>
        <w:t>15</w:t>
      </w:r>
      <w:r>
        <w:rPr>
          <w:rFonts w:ascii="宋体" w:eastAsia="宋体" w:hAnsi="宋体" w:cs="宋体" w:hint="eastAsia"/>
          <w:color w:val="333333"/>
          <w:szCs w:val="24"/>
          <w:shd w:val="clear" w:color="auto" w:fill="FFFFFF"/>
        </w:rPr>
        <w:t>号——建造合同》。</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确认</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存货，是指企业在日常活动中持有以备出售的产成品或商品、处在生产过程中的在产品、在生产过程或提供劳务过程中耗用的材料和物料等。</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存货同时满足下列条件的，才能予以确认：</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（一）与该存货有关的经济利益很可能流入企业；</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（二）该存货的成本能够可靠地计量。</w:t>
      </w:r>
      <w:r>
        <w:rPr>
          <w:rFonts w:ascii="宋体" w:eastAsia="宋体" w:hAnsi="宋体" w:cs="宋体" w:hint="eastAsia"/>
          <w:color w:val="333333"/>
          <w:szCs w:val="24"/>
          <w:shd w:val="clear" w:color="auto" w:fill="FFFFFF"/>
        </w:rPr>
        <w:t xml:space="preserve">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计量</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存货应当按照成本进行初始计量。存货成本包括采购成本、加工成本和其他成本。</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存货的采购成本，包括购买价款、相关税费、运输费、装卸费、保险费以及其他可归属于存货采</w:t>
      </w:r>
      <w:r>
        <w:rPr>
          <w:rFonts w:ascii="宋体" w:eastAsia="宋体" w:hAnsi="宋体" w:cs="宋体" w:hint="eastAsia"/>
          <w:color w:val="333333"/>
          <w:szCs w:val="24"/>
          <w:shd w:val="clear" w:color="auto" w:fill="FFFFFF"/>
        </w:rPr>
        <w:t>购成本的费用。</w:t>
      </w:r>
      <w:r>
        <w:rPr>
          <w:rFonts w:ascii="宋体" w:eastAsia="宋体" w:hAnsi="宋体" w:cs="宋体" w:hint="eastAsia"/>
          <w:color w:val="333333"/>
          <w:szCs w:val="24"/>
          <w:shd w:val="clear" w:color="auto" w:fill="FFFFFF"/>
        </w:rPr>
        <w:t xml:space="preserve">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存货的加工成本，包括直接人工以及按照一定方法分配的制造费用。</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制造费用，是指企业为生产产品和提供劳务而发生的各项间接费用。企业应当根据制造费用的性质，合理地选择制造费用分配方法。</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在同一生产过程中，同时生产两种或两种以上的产品，并且每种产品的加工成本不能直接区分的，其加工成本应当按照合理的方法在各种产品之间进行分配。</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存货的其他成本，是指除采购成本、加工成本以外的，使存货达到目前场所和状态所发生的其他支出。</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下列费用应当在发生时确认为当期损益，不计入存货成本：</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（一）非正常消耗的直接材料、直接人工和制造费用。</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（二）仓储费用（不包括在生产过程中为达到下一个生产阶段所必需的费用）。</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（三）不能归属于使存货达到目前场所和状态的其他支出。</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应计入存货成本的借款费用，按照《企业会计准则第</w:t>
      </w:r>
      <w:r>
        <w:rPr>
          <w:rFonts w:ascii="宋体" w:eastAsia="宋体" w:hAnsi="宋体" w:cs="宋体" w:hint="eastAsia"/>
          <w:color w:val="333333"/>
          <w:szCs w:val="24"/>
          <w:shd w:val="clear" w:color="auto" w:fill="FFFFFF"/>
        </w:rPr>
        <w:t>17</w:t>
      </w:r>
      <w:r>
        <w:rPr>
          <w:rFonts w:ascii="宋体" w:eastAsia="宋体" w:hAnsi="宋体" w:cs="宋体" w:hint="eastAsia"/>
          <w:color w:val="333333"/>
          <w:szCs w:val="24"/>
          <w:shd w:val="clear" w:color="auto" w:fill="FFFFFF"/>
        </w:rPr>
        <w:t>号——借款费用》处理。</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投资者投入存货的成本，应当按照投资合同或协议约定的价值确定，但合同或协议约定价值不公允的除外。</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收获时农产品的成本、非货币性资产交换、债务重组和企业合并取得的存货的成本，应当分别按照《企业会计准则第</w:t>
      </w:r>
      <w:r>
        <w:rPr>
          <w:rFonts w:ascii="宋体" w:eastAsia="宋体" w:hAnsi="宋体" w:cs="宋体" w:hint="eastAsia"/>
          <w:color w:val="333333"/>
          <w:szCs w:val="24"/>
          <w:shd w:val="clear" w:color="auto" w:fill="FFFFFF"/>
        </w:rPr>
        <w:t>5</w:t>
      </w:r>
      <w:r>
        <w:rPr>
          <w:rFonts w:ascii="宋体" w:eastAsia="宋体" w:hAnsi="宋体" w:cs="宋体" w:hint="eastAsia"/>
          <w:color w:val="333333"/>
          <w:szCs w:val="24"/>
          <w:shd w:val="clear" w:color="auto" w:fill="FFFFFF"/>
        </w:rPr>
        <w:t>号——生物资产》、《企业会计准则第</w:t>
      </w:r>
      <w:r>
        <w:rPr>
          <w:rFonts w:ascii="宋体" w:eastAsia="宋体" w:hAnsi="宋体" w:cs="宋体" w:hint="eastAsia"/>
          <w:color w:val="333333"/>
          <w:szCs w:val="24"/>
          <w:shd w:val="clear" w:color="auto" w:fill="FFFFFF"/>
        </w:rPr>
        <w:t>7</w:t>
      </w:r>
      <w:r>
        <w:rPr>
          <w:rFonts w:ascii="宋体" w:eastAsia="宋体" w:hAnsi="宋体" w:cs="宋体" w:hint="eastAsia"/>
          <w:color w:val="333333"/>
          <w:szCs w:val="24"/>
          <w:shd w:val="clear" w:color="auto" w:fill="FFFFFF"/>
        </w:rPr>
        <w:t>号——非货币性资产交换》、《企业会计准则第</w:t>
      </w:r>
      <w:r>
        <w:rPr>
          <w:rFonts w:ascii="宋体" w:eastAsia="宋体" w:hAnsi="宋体" w:cs="宋体" w:hint="eastAsia"/>
          <w:color w:val="333333"/>
          <w:szCs w:val="24"/>
          <w:shd w:val="clear" w:color="auto" w:fill="FFFFFF"/>
        </w:rPr>
        <w:t>12</w:t>
      </w:r>
      <w:r>
        <w:rPr>
          <w:rFonts w:ascii="宋体" w:eastAsia="宋体" w:hAnsi="宋体" w:cs="宋体" w:hint="eastAsia"/>
          <w:color w:val="333333"/>
          <w:szCs w:val="24"/>
          <w:shd w:val="clear" w:color="auto" w:fill="FFFFFF"/>
        </w:rPr>
        <w:t>号——债务重组》和《企业会计准则第</w:t>
      </w:r>
      <w:r>
        <w:rPr>
          <w:rFonts w:ascii="宋体" w:eastAsia="宋体" w:hAnsi="宋体" w:cs="宋体" w:hint="eastAsia"/>
          <w:color w:val="333333"/>
          <w:szCs w:val="24"/>
          <w:shd w:val="clear" w:color="auto" w:fill="FFFFFF"/>
        </w:rPr>
        <w:t>20</w:t>
      </w:r>
      <w:r>
        <w:rPr>
          <w:rFonts w:ascii="宋体" w:eastAsia="宋体" w:hAnsi="宋体" w:cs="宋体" w:hint="eastAsia"/>
          <w:color w:val="333333"/>
          <w:szCs w:val="24"/>
          <w:shd w:val="clear" w:color="auto" w:fill="FFFFFF"/>
        </w:rPr>
        <w:t>号——企业合并》确定。</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企业提供劳务的，所发生的从事劳务提供人员的直接人工和其他直接费用以及可归属的间接费用，计入存货成本。</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企业应当采用先进先出法、加权平均法或者个别计价法确定发出存货的实际成本。</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对于性质和用途相似的存货，应当采用相同的成本计</w:t>
      </w:r>
      <w:r>
        <w:rPr>
          <w:rFonts w:ascii="宋体" w:eastAsia="宋体" w:hAnsi="宋体" w:cs="宋体" w:hint="eastAsia"/>
          <w:color w:val="333333"/>
          <w:szCs w:val="24"/>
          <w:shd w:val="clear" w:color="auto" w:fill="FFFFFF"/>
        </w:rPr>
        <w:t>算方法确定发出存货的成本。</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对于不能替代使用的存货、为特定项目专门购入或制造的存货以及提供的劳务，通常采用个别计价法确定发出存货的成本。</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对于已售存货，应当将其成本结转为当期损益，相应的存货跌价准备也应当予以结转。</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资产负债表日，存货应当按照成本与可变现净值孰低计量。</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存货成本高于其可变现净值的，应当计提存货跌价准备，计入当期损益。</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可变现净值，是指在日常活动中，存货的估计售价减去至完工时估计将要发生的成本、估计的销售费用以及相关税费后的金额。</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w:t>
      </w:r>
      <w:r>
        <w:rPr>
          <w:rFonts w:ascii="宋体" w:eastAsia="宋体" w:hAnsi="宋体" w:cs="宋体" w:hint="eastAsia"/>
          <w:color w:val="333333"/>
          <w:szCs w:val="24"/>
          <w:shd w:val="clear" w:color="auto" w:fill="FFFFFF"/>
        </w:rPr>
        <w:t>业确定存货的可变现净值，应当以取得的确凿证据为基础，并且考虑持有存货的目的、资产负债表日后事项的影响等因素。</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为生产而持有的材料等，用其生产的产成品的可变现净值高于成本的，该材料仍然应当按照成本计量；材料价格的下降表明产成品的可变现净值低于成本的，该材料应当按照可变现净值计量。</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为执行销售合同或者劳务合同而持有的存货，其可变现净值应当以合同价格为基础计算。</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企业持有存货的数量多于销售合同订购数量的，超出部分的存货的可变现净值应当以一般销售价格为基础计算。</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w:t>
      </w:r>
      <w:r>
        <w:rPr>
          <w:rFonts w:ascii="宋体" w:eastAsia="宋体" w:hAnsi="宋体" w:cs="宋体" w:hint="eastAsia"/>
          <w:color w:val="333333"/>
          <w:szCs w:val="24"/>
          <w:shd w:val="clear" w:color="auto" w:fill="FFFFFF"/>
        </w:rPr>
        <w:t>通常应当按照单个存货项目计提存货跌价准备。</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对于数量繁多、单价较低的存货，可以按照存货类别计提存货跌价准备。</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与在同一地区生产和销售的产品系列相关、具有相同或类似最终用途或目的，且难以与其他项目分开计量的存货，可以合并计提存货跌价准备。</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资产负债表日，企业应当确定存货的可变现净值。以前减记存货价值的影响因素已经消失的，减记的金额应当予以恢复，并在原已计提的存货跌价准备金额内转回，转回的金额计入当期损益。</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企业应当采用一次转销法或者五五摊销法对低值易耗品和包装物进行摊销，计入相关资产的成本或者当期损益。</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企业发生的存货毁损，应当将处置收入扣除账面价值和相关税费后的金额计入当期损益。存货的账面价值是存货成本扣减累计跌价准备后的金额。</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存货盘亏造成的损失，应当计入当期损益。</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披露</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企业应当在附注中披露与存货有关的下列信息：</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（一）各类存货的期初和期末账面价值。</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（二）确定发出存货成本所采用的方法。</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（三）存货可变现净值的确定依据，存货跌价准备的计提方法，当期计提的存货跌价准备的金额，当期转回的存货跌价准备的金额，以及计提和转回的有关情况。</w:t>
      </w:r>
      <w:r>
        <w:rPr>
          <w:rFonts w:ascii="宋体" w:eastAsia="宋体" w:hAnsi="宋体" w:cs="宋体" w:hint="eastAsia"/>
          <w:color w:val="333333"/>
          <w:szCs w:val="24"/>
          <w:shd w:val="clear" w:color="auto" w:fill="FFFFFF"/>
        </w:rPr>
        <w:t> </w:t>
      </w:r>
    </w:p>
    <w:p w:rsidR="007D302D" w:rsidRDefault="00F523AF">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（四）用于担保的存货账面价值。</w:t>
      </w:r>
      <w:r>
        <w:rPr>
          <w:rFonts w:ascii="宋体" w:eastAsia="宋体" w:hAnsi="宋体" w:cs="宋体" w:hint="eastAsia"/>
          <w:color w:val="333333"/>
          <w:szCs w:val="24"/>
          <w:shd w:val="clear" w:color="auto" w:fill="FFFFFF"/>
        </w:rPr>
        <w:t> </w:t>
      </w:r>
    </w:p>
    <w:p w:rsidR="007D302D" w:rsidRDefault="007D302D"/>
    <w:sectPr w:rsidR="007D30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7D302D"/>
    <w:rsid w:val="00C301AA"/>
    <w:rsid w:val="00F523AF"/>
    <w:rsid w:val="49B46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340</Words>
  <Characters>1940</Characters>
  <Application>Microsoft Office Word</Application>
  <DocSecurity>0</DocSecurity>
  <Lines>16</Lines>
  <Paragraphs>4</Paragraphs>
  <ScaleCrop>false</ScaleCrop>
  <Company/>
  <LinksUpToDate>false</LinksUpToDate>
  <CharactersWithSpaces>2276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ED8E9E430C9B4D81951267A0433EB348</vt:lpwstr>
  </property>
</Properties>
</file>