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DF5" w:rsidRPr="0006297D" w:rsidRDefault="0006297D">
      <w:pPr>
        <w:pStyle w:val="2"/>
        <w:widowControl/>
        <w:shd w:val="clear" w:color="auto" w:fill="FFFFFF"/>
        <w:spacing w:beforeAutospacing="0" w:afterAutospacing="0" w:line="675" w:lineRule="atLeast"/>
        <w:jc w:val="center"/>
        <w:rPr>
          <w:rFonts w:ascii="方正小标宋_GBK" w:eastAsia="方正小标宋_GBK" w:hAnsi="微软雅黑" w:cs="微软雅黑"/>
          <w:color w:val="333333"/>
        </w:rPr>
      </w:pPr>
      <w:r w:rsidRPr="0006297D">
        <w:rPr>
          <w:rFonts w:ascii="方正小标宋_GBK" w:eastAsia="方正小标宋_GBK" w:hAnsi="微软雅黑" w:cs="微软雅黑"/>
          <w:color w:val="333333"/>
          <w:shd w:val="clear" w:color="auto" w:fill="FFFFFF"/>
        </w:rPr>
        <w:t>企业会计准则第</w:t>
      </w:r>
      <w:r w:rsidRPr="0006297D">
        <w:rPr>
          <w:rFonts w:ascii="方正小标宋_GBK" w:eastAsia="方正小标宋_GBK" w:hAnsi="微软雅黑" w:cs="微软雅黑"/>
          <w:color w:val="333333"/>
          <w:shd w:val="clear" w:color="auto" w:fill="FFFFFF"/>
        </w:rPr>
        <w:t>14</w:t>
      </w:r>
      <w:r w:rsidRPr="0006297D">
        <w:rPr>
          <w:rFonts w:ascii="方正小标宋_GBK" w:eastAsia="方正小标宋_GBK" w:hAnsi="微软雅黑" w:cs="微软雅黑"/>
          <w:color w:val="333333"/>
          <w:shd w:val="clear" w:color="auto" w:fill="FFFFFF"/>
        </w:rPr>
        <w:t>号——收入</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 </w:t>
      </w:r>
      <w:r>
        <w:rPr>
          <w:rFonts w:ascii="宋体" w:eastAsia="宋体" w:hAnsi="宋体" w:cs="宋体" w:hint="eastAsia"/>
          <w:b/>
          <w:bCs/>
          <w:color w:val="333333"/>
          <w:szCs w:val="24"/>
          <w:shd w:val="clear" w:color="auto" w:fill="FFFFFF"/>
        </w:rPr>
        <w:t xml:space="preserve">　　</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第一章</w:t>
      </w:r>
      <w:r>
        <w:rPr>
          <w:rFonts w:ascii="宋体" w:eastAsia="宋体" w:hAnsi="宋体" w:cs="宋体" w:hint="eastAsia"/>
          <w:b/>
          <w:bCs/>
          <w:color w:val="333333"/>
          <w:szCs w:val="24"/>
          <w:shd w:val="clear" w:color="auto" w:fill="FFFFFF"/>
        </w:rPr>
        <w:t>  </w:t>
      </w:r>
      <w:r>
        <w:rPr>
          <w:rFonts w:ascii="宋体" w:eastAsia="宋体" w:hAnsi="宋体" w:cs="宋体" w:hint="eastAsia"/>
          <w:b/>
          <w:bCs/>
          <w:color w:val="333333"/>
          <w:szCs w:val="24"/>
          <w:shd w:val="clear" w:color="auto" w:fill="FFFFFF"/>
        </w:rPr>
        <w:t>总</w:t>
      </w:r>
      <w:r>
        <w:rPr>
          <w:rFonts w:ascii="宋体" w:eastAsia="宋体" w:hAnsi="宋体" w:cs="宋体" w:hint="eastAsia"/>
          <w:b/>
          <w:bCs/>
          <w:color w:val="333333"/>
          <w:szCs w:val="24"/>
          <w:shd w:val="clear" w:color="auto" w:fill="FFFFFF"/>
        </w:rPr>
        <w:t>  </w:t>
      </w:r>
      <w:r>
        <w:rPr>
          <w:rFonts w:ascii="宋体" w:eastAsia="宋体" w:hAnsi="宋体" w:cs="宋体" w:hint="eastAsia"/>
          <w:b/>
          <w:bCs/>
          <w:color w:val="333333"/>
          <w:szCs w:val="24"/>
          <w:shd w:val="clear" w:color="auto" w:fill="FFFFFF"/>
        </w:rPr>
        <w:t>则</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第一条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为了规范收入的确认、计量和相关信息的披露，根据《企业会计准则</w:t>
      </w:r>
      <w:r>
        <w:rPr>
          <w:rFonts w:ascii="宋体" w:eastAsia="宋体" w:hAnsi="宋体" w:cs="宋体" w:hint="eastAsia"/>
          <w:color w:val="333333"/>
          <w:szCs w:val="24"/>
          <w:shd w:val="clear" w:color="auto" w:fill="FFFFFF"/>
        </w:rPr>
        <w:t>——</w:t>
      </w:r>
      <w:r>
        <w:rPr>
          <w:rFonts w:ascii="宋体" w:eastAsia="宋体" w:hAnsi="宋体" w:cs="宋体" w:hint="eastAsia"/>
          <w:color w:val="333333"/>
          <w:szCs w:val="24"/>
          <w:shd w:val="clear" w:color="auto" w:fill="FFFFFF"/>
        </w:rPr>
        <w:t>基本准则》，制定本准则。</w:t>
      </w:r>
      <w:r>
        <w:rPr>
          <w:rFonts w:ascii="宋体" w:eastAsia="宋体" w:hAnsi="宋体" w:cs="宋体" w:hint="eastAsia"/>
          <w:color w:val="333333"/>
          <w:szCs w:val="24"/>
          <w:shd w:val="clear" w:color="auto" w:fill="FFFFFF"/>
        </w:rPr>
        <w:t> </w:t>
      </w:r>
      <w:bookmarkStart w:id="0" w:name="_GoBack"/>
      <w:bookmarkEnd w:id="0"/>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收入，是指企业在日常活动中形成的、会导致所有者权益增加的、与所有者投入资本无关的经济利益的总流入。</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本准则适用于所有与客户之间的合同，但下列各项除外：</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（一）由《企业会计准则第</w:t>
      </w:r>
      <w:r>
        <w:rPr>
          <w:rFonts w:ascii="宋体" w:eastAsia="宋体" w:hAnsi="宋体" w:cs="宋体" w:hint="eastAsia"/>
          <w:color w:val="333333"/>
          <w:szCs w:val="24"/>
          <w:shd w:val="clear" w:color="auto" w:fill="FFFFFF"/>
        </w:rPr>
        <w:t>2</w:t>
      </w:r>
      <w:r>
        <w:rPr>
          <w:rFonts w:ascii="宋体" w:eastAsia="宋体" w:hAnsi="宋体" w:cs="宋体" w:hint="eastAsia"/>
          <w:color w:val="333333"/>
          <w:szCs w:val="24"/>
          <w:shd w:val="clear" w:color="auto" w:fill="FFFFFF"/>
        </w:rPr>
        <w:t>号</w:t>
      </w:r>
      <w:r>
        <w:rPr>
          <w:rFonts w:ascii="宋体" w:eastAsia="宋体" w:hAnsi="宋体" w:cs="宋体" w:hint="eastAsia"/>
          <w:color w:val="333333"/>
          <w:szCs w:val="24"/>
          <w:shd w:val="clear" w:color="auto" w:fill="FFFFFF"/>
        </w:rPr>
        <w:t>——</w:t>
      </w:r>
      <w:r>
        <w:rPr>
          <w:rFonts w:ascii="宋体" w:eastAsia="宋体" w:hAnsi="宋体" w:cs="宋体" w:hint="eastAsia"/>
          <w:color w:val="333333"/>
          <w:szCs w:val="24"/>
          <w:shd w:val="clear" w:color="auto" w:fill="FFFFFF"/>
        </w:rPr>
        <w:t>长期股权投资》、《企业会计准则第</w:t>
      </w:r>
      <w:r>
        <w:rPr>
          <w:rFonts w:ascii="宋体" w:eastAsia="宋体" w:hAnsi="宋体" w:cs="宋体" w:hint="eastAsia"/>
          <w:color w:val="333333"/>
          <w:szCs w:val="24"/>
          <w:shd w:val="clear" w:color="auto" w:fill="FFFFFF"/>
        </w:rPr>
        <w:t>22</w:t>
      </w:r>
      <w:r>
        <w:rPr>
          <w:rFonts w:ascii="宋体" w:eastAsia="宋体" w:hAnsi="宋体" w:cs="宋体" w:hint="eastAsia"/>
          <w:color w:val="333333"/>
          <w:szCs w:val="24"/>
          <w:shd w:val="clear" w:color="auto" w:fill="FFFFFF"/>
        </w:rPr>
        <w:t>号</w:t>
      </w:r>
      <w:r>
        <w:rPr>
          <w:rFonts w:ascii="宋体" w:eastAsia="宋体" w:hAnsi="宋体" w:cs="宋体" w:hint="eastAsia"/>
          <w:color w:val="333333"/>
          <w:szCs w:val="24"/>
          <w:shd w:val="clear" w:color="auto" w:fill="FFFFFF"/>
        </w:rPr>
        <w:t>——</w:t>
      </w:r>
      <w:r>
        <w:rPr>
          <w:rFonts w:ascii="宋体" w:eastAsia="宋体" w:hAnsi="宋体" w:cs="宋体" w:hint="eastAsia"/>
          <w:color w:val="333333"/>
          <w:szCs w:val="24"/>
          <w:shd w:val="clear" w:color="auto" w:fill="FFFFFF"/>
        </w:rPr>
        <w:t>金融工具确认和计量》、《企业会计准则第</w:t>
      </w:r>
      <w:r>
        <w:rPr>
          <w:rFonts w:ascii="宋体" w:eastAsia="宋体" w:hAnsi="宋体" w:cs="宋体" w:hint="eastAsia"/>
          <w:color w:val="333333"/>
          <w:szCs w:val="24"/>
          <w:shd w:val="clear" w:color="auto" w:fill="FFFFFF"/>
        </w:rPr>
        <w:t>23</w:t>
      </w:r>
      <w:r>
        <w:rPr>
          <w:rFonts w:ascii="宋体" w:eastAsia="宋体" w:hAnsi="宋体" w:cs="宋体" w:hint="eastAsia"/>
          <w:color w:val="333333"/>
          <w:szCs w:val="24"/>
          <w:shd w:val="clear" w:color="auto" w:fill="FFFFFF"/>
        </w:rPr>
        <w:t>号</w:t>
      </w:r>
      <w:r>
        <w:rPr>
          <w:rFonts w:ascii="宋体" w:eastAsia="宋体" w:hAnsi="宋体" w:cs="宋体" w:hint="eastAsia"/>
          <w:color w:val="333333"/>
          <w:szCs w:val="24"/>
          <w:shd w:val="clear" w:color="auto" w:fill="FFFFFF"/>
        </w:rPr>
        <w:t>——</w:t>
      </w:r>
      <w:r>
        <w:rPr>
          <w:rFonts w:ascii="宋体" w:eastAsia="宋体" w:hAnsi="宋体" w:cs="宋体" w:hint="eastAsia"/>
          <w:color w:val="333333"/>
          <w:szCs w:val="24"/>
          <w:shd w:val="clear" w:color="auto" w:fill="FFFFFF"/>
        </w:rPr>
        <w:t>金融资产转移》、《企业会计准则第</w:t>
      </w:r>
      <w:r>
        <w:rPr>
          <w:rFonts w:ascii="宋体" w:eastAsia="宋体" w:hAnsi="宋体" w:cs="宋体" w:hint="eastAsia"/>
          <w:color w:val="333333"/>
          <w:szCs w:val="24"/>
          <w:shd w:val="clear" w:color="auto" w:fill="FFFFFF"/>
        </w:rPr>
        <w:t>24</w:t>
      </w:r>
      <w:r>
        <w:rPr>
          <w:rFonts w:ascii="宋体" w:eastAsia="宋体" w:hAnsi="宋体" w:cs="宋体" w:hint="eastAsia"/>
          <w:color w:val="333333"/>
          <w:szCs w:val="24"/>
          <w:shd w:val="clear" w:color="auto" w:fill="FFFFFF"/>
        </w:rPr>
        <w:t>号</w:t>
      </w:r>
      <w:r>
        <w:rPr>
          <w:rFonts w:ascii="宋体" w:eastAsia="宋体" w:hAnsi="宋体" w:cs="宋体" w:hint="eastAsia"/>
          <w:color w:val="333333"/>
          <w:szCs w:val="24"/>
          <w:shd w:val="clear" w:color="auto" w:fill="FFFFFF"/>
        </w:rPr>
        <w:t>——</w:t>
      </w:r>
      <w:r>
        <w:rPr>
          <w:rFonts w:ascii="宋体" w:eastAsia="宋体" w:hAnsi="宋体" w:cs="宋体" w:hint="eastAsia"/>
          <w:color w:val="333333"/>
          <w:szCs w:val="24"/>
          <w:shd w:val="clear" w:color="auto" w:fill="FFFFFF"/>
        </w:rPr>
        <w:t>套期会计》、《企业会计准则第</w:t>
      </w:r>
      <w:r>
        <w:rPr>
          <w:rFonts w:ascii="宋体" w:eastAsia="宋体" w:hAnsi="宋体" w:cs="宋体" w:hint="eastAsia"/>
          <w:color w:val="333333"/>
          <w:szCs w:val="24"/>
          <w:shd w:val="clear" w:color="auto" w:fill="FFFFFF"/>
        </w:rPr>
        <w:t>33</w:t>
      </w:r>
      <w:r>
        <w:rPr>
          <w:rFonts w:ascii="宋体" w:eastAsia="宋体" w:hAnsi="宋体" w:cs="宋体" w:hint="eastAsia"/>
          <w:color w:val="333333"/>
          <w:szCs w:val="24"/>
          <w:shd w:val="clear" w:color="auto" w:fill="FFFFFF"/>
        </w:rPr>
        <w:t>号</w:t>
      </w:r>
      <w:r>
        <w:rPr>
          <w:rFonts w:ascii="宋体" w:eastAsia="宋体" w:hAnsi="宋体" w:cs="宋体" w:hint="eastAsia"/>
          <w:color w:val="333333"/>
          <w:szCs w:val="24"/>
          <w:shd w:val="clear" w:color="auto" w:fill="FFFFFF"/>
        </w:rPr>
        <w:t>——</w:t>
      </w:r>
      <w:r>
        <w:rPr>
          <w:rFonts w:ascii="宋体" w:eastAsia="宋体" w:hAnsi="宋体" w:cs="宋体" w:hint="eastAsia"/>
          <w:color w:val="333333"/>
          <w:szCs w:val="24"/>
          <w:shd w:val="clear" w:color="auto" w:fill="FFFFFF"/>
        </w:rPr>
        <w:t>合并财务报表》以及《企业会计准则第</w:t>
      </w:r>
      <w:r>
        <w:rPr>
          <w:rFonts w:ascii="宋体" w:eastAsia="宋体" w:hAnsi="宋体" w:cs="宋体" w:hint="eastAsia"/>
          <w:color w:val="333333"/>
          <w:szCs w:val="24"/>
          <w:shd w:val="clear" w:color="auto" w:fill="FFFFFF"/>
        </w:rPr>
        <w:t>40</w:t>
      </w:r>
      <w:r>
        <w:rPr>
          <w:rFonts w:ascii="宋体" w:eastAsia="宋体" w:hAnsi="宋体" w:cs="宋体" w:hint="eastAsia"/>
          <w:color w:val="333333"/>
          <w:szCs w:val="24"/>
          <w:shd w:val="clear" w:color="auto" w:fill="FFFFFF"/>
        </w:rPr>
        <w:t>号</w:t>
      </w:r>
      <w:r>
        <w:rPr>
          <w:rFonts w:ascii="宋体" w:eastAsia="宋体" w:hAnsi="宋体" w:cs="宋体" w:hint="eastAsia"/>
          <w:color w:val="333333"/>
          <w:szCs w:val="24"/>
          <w:shd w:val="clear" w:color="auto" w:fill="FFFFFF"/>
        </w:rPr>
        <w:t>——</w:t>
      </w:r>
      <w:r>
        <w:rPr>
          <w:rFonts w:ascii="宋体" w:eastAsia="宋体" w:hAnsi="宋体" w:cs="宋体" w:hint="eastAsia"/>
          <w:color w:val="333333"/>
          <w:szCs w:val="24"/>
          <w:shd w:val="clear" w:color="auto" w:fill="FFFFFF"/>
        </w:rPr>
        <w:t>合营安排》规范的金融工具及其他合同权利和义务</w:t>
      </w:r>
      <w:r>
        <w:rPr>
          <w:rFonts w:ascii="宋体" w:eastAsia="宋体" w:hAnsi="宋体" w:cs="宋体" w:hint="eastAsia"/>
          <w:color w:val="333333"/>
          <w:szCs w:val="24"/>
          <w:shd w:val="clear" w:color="auto" w:fill="FFFFFF"/>
        </w:rPr>
        <w:t>,</w:t>
      </w:r>
      <w:r>
        <w:rPr>
          <w:rFonts w:ascii="宋体" w:eastAsia="宋体" w:hAnsi="宋体" w:cs="宋体" w:hint="eastAsia"/>
          <w:color w:val="333333"/>
          <w:szCs w:val="24"/>
          <w:shd w:val="clear" w:color="auto" w:fill="FFFFFF"/>
        </w:rPr>
        <w:t>分别适用《企业会计准则第</w:t>
      </w:r>
      <w:r>
        <w:rPr>
          <w:rFonts w:ascii="宋体" w:eastAsia="宋体" w:hAnsi="宋体" w:cs="宋体" w:hint="eastAsia"/>
          <w:color w:val="333333"/>
          <w:szCs w:val="24"/>
          <w:shd w:val="clear" w:color="auto" w:fill="FFFFFF"/>
        </w:rPr>
        <w:t>2</w:t>
      </w:r>
      <w:r>
        <w:rPr>
          <w:rFonts w:ascii="宋体" w:eastAsia="宋体" w:hAnsi="宋体" w:cs="宋体" w:hint="eastAsia"/>
          <w:color w:val="333333"/>
          <w:szCs w:val="24"/>
          <w:shd w:val="clear" w:color="auto" w:fill="FFFFFF"/>
        </w:rPr>
        <w:t>号</w:t>
      </w:r>
      <w:r>
        <w:rPr>
          <w:rFonts w:ascii="宋体" w:eastAsia="宋体" w:hAnsi="宋体" w:cs="宋体" w:hint="eastAsia"/>
          <w:color w:val="333333"/>
          <w:szCs w:val="24"/>
          <w:shd w:val="clear" w:color="auto" w:fill="FFFFFF"/>
        </w:rPr>
        <w:t>——</w:t>
      </w:r>
      <w:r>
        <w:rPr>
          <w:rFonts w:ascii="宋体" w:eastAsia="宋体" w:hAnsi="宋体" w:cs="宋体" w:hint="eastAsia"/>
          <w:color w:val="333333"/>
          <w:szCs w:val="24"/>
          <w:shd w:val="clear" w:color="auto" w:fill="FFFFFF"/>
        </w:rPr>
        <w:t>长期股权投资》、《企业会计准则第</w:t>
      </w:r>
      <w:r>
        <w:rPr>
          <w:rFonts w:ascii="宋体" w:eastAsia="宋体" w:hAnsi="宋体" w:cs="宋体" w:hint="eastAsia"/>
          <w:color w:val="333333"/>
          <w:szCs w:val="24"/>
          <w:shd w:val="clear" w:color="auto" w:fill="FFFFFF"/>
        </w:rPr>
        <w:t>22</w:t>
      </w:r>
      <w:r>
        <w:rPr>
          <w:rFonts w:ascii="宋体" w:eastAsia="宋体" w:hAnsi="宋体" w:cs="宋体" w:hint="eastAsia"/>
          <w:color w:val="333333"/>
          <w:szCs w:val="24"/>
          <w:shd w:val="clear" w:color="auto" w:fill="FFFFFF"/>
        </w:rPr>
        <w:t>号</w:t>
      </w:r>
      <w:r>
        <w:rPr>
          <w:rFonts w:ascii="宋体" w:eastAsia="宋体" w:hAnsi="宋体" w:cs="宋体" w:hint="eastAsia"/>
          <w:color w:val="333333"/>
          <w:szCs w:val="24"/>
          <w:shd w:val="clear" w:color="auto" w:fill="FFFFFF"/>
        </w:rPr>
        <w:t>——</w:t>
      </w:r>
      <w:r>
        <w:rPr>
          <w:rFonts w:ascii="宋体" w:eastAsia="宋体" w:hAnsi="宋体" w:cs="宋体" w:hint="eastAsia"/>
          <w:color w:val="333333"/>
          <w:szCs w:val="24"/>
          <w:shd w:val="clear" w:color="auto" w:fill="FFFFFF"/>
        </w:rPr>
        <w:t>金融工具确认和计量》、《企业会计准则第</w:t>
      </w:r>
      <w:r>
        <w:rPr>
          <w:rFonts w:ascii="宋体" w:eastAsia="宋体" w:hAnsi="宋体" w:cs="宋体" w:hint="eastAsia"/>
          <w:color w:val="333333"/>
          <w:szCs w:val="24"/>
          <w:shd w:val="clear" w:color="auto" w:fill="FFFFFF"/>
        </w:rPr>
        <w:t>23</w:t>
      </w:r>
      <w:r>
        <w:rPr>
          <w:rFonts w:ascii="宋体" w:eastAsia="宋体" w:hAnsi="宋体" w:cs="宋体" w:hint="eastAsia"/>
          <w:color w:val="333333"/>
          <w:szCs w:val="24"/>
          <w:shd w:val="clear" w:color="auto" w:fill="FFFFFF"/>
        </w:rPr>
        <w:t>号</w:t>
      </w:r>
      <w:r>
        <w:rPr>
          <w:rFonts w:ascii="宋体" w:eastAsia="宋体" w:hAnsi="宋体" w:cs="宋体" w:hint="eastAsia"/>
          <w:color w:val="333333"/>
          <w:szCs w:val="24"/>
          <w:shd w:val="clear" w:color="auto" w:fill="FFFFFF"/>
        </w:rPr>
        <w:t>——</w:t>
      </w:r>
      <w:r>
        <w:rPr>
          <w:rFonts w:ascii="宋体" w:eastAsia="宋体" w:hAnsi="宋体" w:cs="宋体" w:hint="eastAsia"/>
          <w:color w:val="333333"/>
          <w:szCs w:val="24"/>
          <w:shd w:val="clear" w:color="auto" w:fill="FFFFFF"/>
        </w:rPr>
        <w:t>金融资产转移》、《企业会计准则第</w:t>
      </w:r>
      <w:r>
        <w:rPr>
          <w:rFonts w:ascii="宋体" w:eastAsia="宋体" w:hAnsi="宋体" w:cs="宋体" w:hint="eastAsia"/>
          <w:color w:val="333333"/>
          <w:szCs w:val="24"/>
          <w:shd w:val="clear" w:color="auto" w:fill="FFFFFF"/>
        </w:rPr>
        <w:t>24</w:t>
      </w:r>
      <w:r>
        <w:rPr>
          <w:rFonts w:ascii="宋体" w:eastAsia="宋体" w:hAnsi="宋体" w:cs="宋体" w:hint="eastAsia"/>
          <w:color w:val="333333"/>
          <w:szCs w:val="24"/>
          <w:shd w:val="clear" w:color="auto" w:fill="FFFFFF"/>
        </w:rPr>
        <w:t>号</w:t>
      </w:r>
      <w:r>
        <w:rPr>
          <w:rFonts w:ascii="宋体" w:eastAsia="宋体" w:hAnsi="宋体" w:cs="宋体" w:hint="eastAsia"/>
          <w:color w:val="333333"/>
          <w:szCs w:val="24"/>
          <w:shd w:val="clear" w:color="auto" w:fill="FFFFFF"/>
        </w:rPr>
        <w:t>——</w:t>
      </w:r>
      <w:r>
        <w:rPr>
          <w:rFonts w:ascii="宋体" w:eastAsia="宋体" w:hAnsi="宋体" w:cs="宋体" w:hint="eastAsia"/>
          <w:color w:val="333333"/>
          <w:szCs w:val="24"/>
          <w:shd w:val="clear" w:color="auto" w:fill="FFFFFF"/>
        </w:rPr>
        <w:t>套期会计》、《企业会计准则第</w:t>
      </w:r>
      <w:r>
        <w:rPr>
          <w:rFonts w:ascii="宋体" w:eastAsia="宋体" w:hAnsi="宋体" w:cs="宋体" w:hint="eastAsia"/>
          <w:color w:val="333333"/>
          <w:szCs w:val="24"/>
          <w:shd w:val="clear" w:color="auto" w:fill="FFFFFF"/>
        </w:rPr>
        <w:t>33</w:t>
      </w:r>
      <w:r>
        <w:rPr>
          <w:rFonts w:ascii="宋体" w:eastAsia="宋体" w:hAnsi="宋体" w:cs="宋体" w:hint="eastAsia"/>
          <w:color w:val="333333"/>
          <w:szCs w:val="24"/>
          <w:shd w:val="clear" w:color="auto" w:fill="FFFFFF"/>
        </w:rPr>
        <w:t>号</w:t>
      </w:r>
      <w:r>
        <w:rPr>
          <w:rFonts w:ascii="宋体" w:eastAsia="宋体" w:hAnsi="宋体" w:cs="宋体" w:hint="eastAsia"/>
          <w:color w:val="333333"/>
          <w:szCs w:val="24"/>
          <w:shd w:val="clear" w:color="auto" w:fill="FFFFFF"/>
        </w:rPr>
        <w:t>——</w:t>
      </w:r>
      <w:r>
        <w:rPr>
          <w:rFonts w:ascii="宋体" w:eastAsia="宋体" w:hAnsi="宋体" w:cs="宋体" w:hint="eastAsia"/>
          <w:color w:val="333333"/>
          <w:szCs w:val="24"/>
          <w:shd w:val="clear" w:color="auto" w:fill="FFFFFF"/>
        </w:rPr>
        <w:t>合并财务报表》以及《企业会计准则第</w:t>
      </w:r>
      <w:r>
        <w:rPr>
          <w:rFonts w:ascii="宋体" w:eastAsia="宋体" w:hAnsi="宋体" w:cs="宋体" w:hint="eastAsia"/>
          <w:color w:val="333333"/>
          <w:szCs w:val="24"/>
          <w:shd w:val="clear" w:color="auto" w:fill="FFFFFF"/>
        </w:rPr>
        <w:t>40</w:t>
      </w:r>
      <w:r>
        <w:rPr>
          <w:rFonts w:ascii="宋体" w:eastAsia="宋体" w:hAnsi="宋体" w:cs="宋体" w:hint="eastAsia"/>
          <w:color w:val="333333"/>
          <w:szCs w:val="24"/>
          <w:shd w:val="clear" w:color="auto" w:fill="FFFFFF"/>
        </w:rPr>
        <w:t>号</w:t>
      </w:r>
      <w:r>
        <w:rPr>
          <w:rFonts w:ascii="宋体" w:eastAsia="宋体" w:hAnsi="宋体" w:cs="宋体" w:hint="eastAsia"/>
          <w:color w:val="333333"/>
          <w:szCs w:val="24"/>
          <w:shd w:val="clear" w:color="auto" w:fill="FFFFFF"/>
        </w:rPr>
        <w:t>——</w:t>
      </w:r>
      <w:r>
        <w:rPr>
          <w:rFonts w:ascii="宋体" w:eastAsia="宋体" w:hAnsi="宋体" w:cs="宋体" w:hint="eastAsia"/>
          <w:color w:val="333333"/>
          <w:szCs w:val="24"/>
          <w:shd w:val="clear" w:color="auto" w:fill="FFFFFF"/>
        </w:rPr>
        <w:t>合营安排》。</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（二）由《企业会计准则第</w:t>
      </w:r>
      <w:r>
        <w:rPr>
          <w:rFonts w:ascii="宋体" w:eastAsia="宋体" w:hAnsi="宋体" w:cs="宋体" w:hint="eastAsia"/>
          <w:color w:val="333333"/>
          <w:szCs w:val="24"/>
          <w:shd w:val="clear" w:color="auto" w:fill="FFFFFF"/>
        </w:rPr>
        <w:t>21</w:t>
      </w:r>
      <w:r>
        <w:rPr>
          <w:rFonts w:ascii="宋体" w:eastAsia="宋体" w:hAnsi="宋体" w:cs="宋体" w:hint="eastAsia"/>
          <w:color w:val="333333"/>
          <w:szCs w:val="24"/>
          <w:shd w:val="clear" w:color="auto" w:fill="FFFFFF"/>
        </w:rPr>
        <w:t>号</w:t>
      </w:r>
      <w:r>
        <w:rPr>
          <w:rFonts w:ascii="宋体" w:eastAsia="宋体" w:hAnsi="宋体" w:cs="宋体" w:hint="eastAsia"/>
          <w:color w:val="333333"/>
          <w:szCs w:val="24"/>
          <w:shd w:val="clear" w:color="auto" w:fill="FFFFFF"/>
        </w:rPr>
        <w:t>——</w:t>
      </w:r>
      <w:r>
        <w:rPr>
          <w:rFonts w:ascii="宋体" w:eastAsia="宋体" w:hAnsi="宋体" w:cs="宋体" w:hint="eastAsia"/>
          <w:color w:val="333333"/>
          <w:szCs w:val="24"/>
          <w:shd w:val="clear" w:color="auto" w:fill="FFFFFF"/>
        </w:rPr>
        <w:t>租赁》规范的租赁合同，适用《企业会计准则第</w:t>
      </w:r>
      <w:r>
        <w:rPr>
          <w:rFonts w:ascii="宋体" w:eastAsia="宋体" w:hAnsi="宋体" w:cs="宋体" w:hint="eastAsia"/>
          <w:color w:val="333333"/>
          <w:szCs w:val="24"/>
          <w:shd w:val="clear" w:color="auto" w:fill="FFFFFF"/>
        </w:rPr>
        <w:t>21</w:t>
      </w:r>
      <w:r>
        <w:rPr>
          <w:rFonts w:ascii="宋体" w:eastAsia="宋体" w:hAnsi="宋体" w:cs="宋体" w:hint="eastAsia"/>
          <w:color w:val="333333"/>
          <w:szCs w:val="24"/>
          <w:shd w:val="clear" w:color="auto" w:fill="FFFFFF"/>
        </w:rPr>
        <w:t>号</w:t>
      </w:r>
      <w:r>
        <w:rPr>
          <w:rFonts w:ascii="宋体" w:eastAsia="宋体" w:hAnsi="宋体" w:cs="宋体" w:hint="eastAsia"/>
          <w:color w:val="333333"/>
          <w:szCs w:val="24"/>
          <w:shd w:val="clear" w:color="auto" w:fill="FFFFFF"/>
        </w:rPr>
        <w:t>——</w:t>
      </w:r>
      <w:r>
        <w:rPr>
          <w:rFonts w:ascii="宋体" w:eastAsia="宋体" w:hAnsi="宋体" w:cs="宋体" w:hint="eastAsia"/>
          <w:color w:val="333333"/>
          <w:szCs w:val="24"/>
          <w:shd w:val="clear" w:color="auto" w:fill="FFFFFF"/>
        </w:rPr>
        <w:t>租赁》。</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（三）由保险合同相关会计准则规范的保险合同，适用保险合同相关会计准则。</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本准则所称客户，是指与企业订立合同以向该企业购买其日常活动产出的商品或服务（以下简称“商品”）并支付对价的一方。</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本准则所称合同，是指双方或多方之间订立有法律约束力的权利义务的协议。合同有书面形式、口头形式以及其他形式。</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第二章</w:t>
      </w:r>
      <w:r>
        <w:rPr>
          <w:rFonts w:ascii="宋体" w:eastAsia="宋体" w:hAnsi="宋体" w:cs="宋体" w:hint="eastAsia"/>
          <w:b/>
          <w:bCs/>
          <w:color w:val="333333"/>
          <w:szCs w:val="24"/>
          <w:shd w:val="clear" w:color="auto" w:fill="FFFFFF"/>
        </w:rPr>
        <w:t>  </w:t>
      </w:r>
      <w:r>
        <w:rPr>
          <w:rFonts w:ascii="宋体" w:eastAsia="宋体" w:hAnsi="宋体" w:cs="宋体" w:hint="eastAsia"/>
          <w:b/>
          <w:bCs/>
          <w:color w:val="333333"/>
          <w:szCs w:val="24"/>
          <w:shd w:val="clear" w:color="auto" w:fill="FFFFFF"/>
        </w:rPr>
        <w:t>确</w:t>
      </w:r>
      <w:r>
        <w:rPr>
          <w:rFonts w:ascii="宋体" w:eastAsia="宋体" w:hAnsi="宋体" w:cs="宋体" w:hint="eastAsia"/>
          <w:b/>
          <w:bCs/>
          <w:color w:val="333333"/>
          <w:szCs w:val="24"/>
          <w:shd w:val="clear" w:color="auto" w:fill="FFFFFF"/>
        </w:rPr>
        <w:t>  </w:t>
      </w:r>
      <w:r>
        <w:rPr>
          <w:rFonts w:ascii="宋体" w:eastAsia="宋体" w:hAnsi="宋体" w:cs="宋体" w:hint="eastAsia"/>
          <w:b/>
          <w:bCs/>
          <w:color w:val="333333"/>
          <w:szCs w:val="24"/>
          <w:shd w:val="clear" w:color="auto" w:fill="FFFFFF"/>
        </w:rPr>
        <w:t>认</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第四条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企业应当在履行了合同中的履约义务，即在客户取得相关商品控制权时确认收入。</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取得相关商品控制权，是指能够主导该商品的使用并从中获</w:t>
      </w:r>
      <w:r>
        <w:rPr>
          <w:rFonts w:ascii="宋体" w:eastAsia="宋体" w:hAnsi="宋体" w:cs="宋体" w:hint="eastAsia"/>
          <w:color w:val="333333"/>
          <w:szCs w:val="24"/>
          <w:shd w:val="clear" w:color="auto" w:fill="FFFFFF"/>
        </w:rPr>
        <w:t>得几乎全部的经济利益。</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第五条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当企业与客户之间的合同同时满足下列条件时，企业应当在客户取得相关商品控制权时确认收入：</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（一）合同各方已批准该合同并承诺将履行各自义务；</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（二）该合同明确了合同各方与所转让商品或提供劳务（以下简称“转让商品”）相关的权利和义务；</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（三）该合同有明确的与所转让商品相关的支付条款；</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（四）该合同具有商业实质，即履行该合同将改变企业未来现金流量的风险、时间分布或金额；</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（五）企业因向客户转让商品而有权取得的对价很可能收回。</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在合同开始日即满足前款条件的合同，企业在后续期间无需对其进行重新评估，除非有迹象表明相关事实和情况发生重大变化。合同开始日通常是指合同生效日。</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第六条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在合同开始日不符合本准则第五条规定的合同，企业应当对其进行持续评估，并在其满足本准则第五条规定时按照该条的规定进行会计处理。</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对于不符合本准则第五条规定的合同，企业只有在不再负有向客户转让商品的剩余义务，且已向客户收取的对价无需退回时，才能将已收取的对价确认为收入；否则，应当将已收取的对价作为负债进行会计处理。没有商业实质的非货币性资产交换</w:t>
      </w:r>
      <w:r>
        <w:rPr>
          <w:rFonts w:ascii="宋体" w:eastAsia="宋体" w:hAnsi="宋体" w:cs="宋体" w:hint="eastAsia"/>
          <w:color w:val="333333"/>
          <w:szCs w:val="24"/>
          <w:shd w:val="clear" w:color="auto" w:fill="FFFFFF"/>
        </w:rPr>
        <w:t>，不确认收入。</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第七条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企业与同一客户（或该客户的关联方）同时订立或在相近时间内先后订立的两份或多份合同，在满足下列条件之一时，应当合并为一份合同进行会计处理：</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（一）该两份或多份合同基于同一商业目的而订立并构成一揽子交易。</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（二）该两份或多份合同中的一份合同的对价金额取决于其他合同的定价或履行情况。</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（三）该两份或多份合同中所承诺的商品（或每份合同中所承诺的部分商品）构成本准则第九条规定的单项履约义务。</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第八条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企业应当区分下列三种情形对合同变更分别进行会计处理：</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（一）合同变更增加了可明确区分的商品及合同价款，且新增合同价款反映了新增商品单独售价的，应当将该合同变更部分作为一份单独的合同进行会计处理。</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合同变更不属于本条（一）规定的情形，且在合同变更日已转让的商品或已提供的服务（以下简称“已转让的商品”）与未转让的商品或未提供的服务（以下简称“未转让的商品”）之间可明确区分的，应当视为原合同终止，同时，将原合同未履约部分与合同变更部分合并为新合同进行会计处理。</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（三）合同变更不属于本条（一）规定的情形，且在合同变更日已转让的商品与未转让的商品之</w:t>
      </w:r>
      <w:r>
        <w:rPr>
          <w:rFonts w:ascii="宋体" w:eastAsia="宋体" w:hAnsi="宋体" w:cs="宋体" w:hint="eastAsia"/>
          <w:color w:val="333333"/>
          <w:szCs w:val="24"/>
          <w:shd w:val="clear" w:color="auto" w:fill="FFFFFF"/>
        </w:rPr>
        <w:t>间不可明确区分的，应当将该合同变更部分作为原合同的组成部分进行会计处理，由此产生的对已确认收入的影响，应当在合同变更日调整当期收入。</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本准则所称合同变更，是指经合同各方批准对原合同范围或价格作出的变更。</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第九条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合同开始日，企业应当对合同进行评估，识别该合同所包含的各单项履约义务，并确定各单项履约义务是在某一时段内履行，还是在某一时点履行，然后，在履行了各单项履约义务时分别确认收入。</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履约义务，是指合同中企业向客户转让可明确区分商品的承诺。履约义务既包括合同中明确的承诺，也包括由于企业已</w:t>
      </w:r>
      <w:r>
        <w:rPr>
          <w:rFonts w:ascii="宋体" w:eastAsia="宋体" w:hAnsi="宋体" w:cs="宋体" w:hint="eastAsia"/>
          <w:color w:val="333333"/>
          <w:szCs w:val="24"/>
          <w:shd w:val="clear" w:color="auto" w:fill="FFFFFF"/>
        </w:rPr>
        <w:t>公开宣布的政策、特定声明或以往的习惯做法等导致合同订立时客户合理预期企业将履行的承诺。企业为履行合同而应开展的初始活动，通常不构成履约义务，除非该活动向客户转让了承诺的商品。</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企业向客户转让一系列实质相同且转让模式相同的、可明确区分商品的承诺，也应当作为单项履约义务。</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转让模式相同，是指每一项可明确区分商品均满足本准则第十一条规定的、在某一时段内履行履约义务的条件，且采用相同方法确定其履约进度。</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企业向客户承诺的商品同时满足下列条件的，应当作为可明确区分商品：</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（一）客户能</w:t>
      </w:r>
      <w:r>
        <w:rPr>
          <w:rFonts w:ascii="宋体" w:eastAsia="宋体" w:hAnsi="宋体" w:cs="宋体" w:hint="eastAsia"/>
          <w:color w:val="333333"/>
          <w:szCs w:val="24"/>
          <w:shd w:val="clear" w:color="auto" w:fill="FFFFFF"/>
        </w:rPr>
        <w:t>够从该商品本身或从该商品与其他易于获得资源一起使用中受益；</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（二）企业向客户转让该商品的承诺与合同中其他承诺可单独区分。</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下列情形通常表明企业向客户转让该商品的承诺与合同中其他承诺不可单独区分：</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1</w:t>
      </w:r>
      <w:r>
        <w:rPr>
          <w:rFonts w:ascii="宋体" w:eastAsia="宋体" w:hAnsi="宋体" w:cs="宋体" w:hint="eastAsia"/>
          <w:color w:val="333333"/>
          <w:szCs w:val="24"/>
          <w:shd w:val="clear" w:color="auto" w:fill="FFFFFF"/>
        </w:rPr>
        <w:t>．企业需提供重大的服务以将该商品与合同中承诺的其他商品整合成合同约定的组合产出转让给客户。</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2</w:t>
      </w:r>
      <w:r>
        <w:rPr>
          <w:rFonts w:ascii="宋体" w:eastAsia="宋体" w:hAnsi="宋体" w:cs="宋体" w:hint="eastAsia"/>
          <w:color w:val="333333"/>
          <w:szCs w:val="24"/>
          <w:shd w:val="clear" w:color="auto" w:fill="FFFFFF"/>
        </w:rPr>
        <w:t>．该商品将对合同中承诺的其他商品予以重大修改或定制。</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3</w:t>
      </w:r>
      <w:r>
        <w:rPr>
          <w:rFonts w:ascii="宋体" w:eastAsia="宋体" w:hAnsi="宋体" w:cs="宋体" w:hint="eastAsia"/>
          <w:color w:val="333333"/>
          <w:szCs w:val="24"/>
          <w:shd w:val="clear" w:color="auto" w:fill="FFFFFF"/>
        </w:rPr>
        <w:t>．该商品与合同中承诺的其他商品具有高度关联性。</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第十一条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满足下列条件之一的，属于在某一时段内履行履约义务；否则，属于在某一时点履行履约义务：</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（一）客户在企业履约的同时即取得并消耗企业履约所带来的经济利益。</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（二）客户能够控制企业履约过程中在建的商品。</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（三）企业履约过程中所产出的商品具有不可替代用途，且该企业在整个合同期间内有权就累计至今已完成的履约部分收取款项。</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具有不可替代用途，是指因合同限制或实际可行性限制，企业不能轻易地将商品用于其他用途。</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有权就累计至今已完成的履约部分收取款项，是指在由于客户或其他方原因终止合同的情况下</w:t>
      </w:r>
      <w:r>
        <w:rPr>
          <w:rFonts w:ascii="宋体" w:eastAsia="宋体" w:hAnsi="宋体" w:cs="宋体" w:hint="eastAsia"/>
          <w:color w:val="333333"/>
          <w:szCs w:val="24"/>
          <w:shd w:val="clear" w:color="auto" w:fill="FFFFFF"/>
        </w:rPr>
        <w:t>，企业有权就累计至今已完成的履约部分收取能够补偿其已发生成本和合理利润的款项，并且该权利具有法律约束力。</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第十二条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对于在某一时段内履行的履约义务，企业应当在该段时间内按照履约进度确认收入，但是，履约进度不能合理确定的除外。企业应当考虑商品</w:t>
      </w:r>
      <w:r>
        <w:rPr>
          <w:rFonts w:ascii="宋体" w:eastAsia="宋体" w:hAnsi="宋体" w:cs="宋体" w:hint="eastAsia"/>
          <w:color w:val="333333"/>
          <w:szCs w:val="24"/>
          <w:shd w:val="clear" w:color="auto" w:fill="FFFFFF"/>
        </w:rPr>
        <w:lastRenderedPageBreak/>
        <w:t>的性质，采用产出法或投入法确定恰当的履约进度。其中，产出法是根据已转移给客户的商品对于客户的价值确定履约进度；投入法是根据企业为履行履约义务的投入确定履约进度。对于类似情况下的类似履约义务，企业应当采用相同的方法确定履约进度。</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当履约进度不能合理确定时，企业</w:t>
      </w:r>
      <w:r>
        <w:rPr>
          <w:rFonts w:ascii="宋体" w:eastAsia="宋体" w:hAnsi="宋体" w:cs="宋体" w:hint="eastAsia"/>
          <w:color w:val="333333"/>
          <w:szCs w:val="24"/>
          <w:shd w:val="clear" w:color="auto" w:fill="FFFFFF"/>
        </w:rPr>
        <w:t>已经发生的成本预计能够得到补偿的，应当按照已经发生的成本金额确认收入，直到履约进度能够合理确定为止。</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第十三条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对于在某一时点履行的履约义务，企业应当在客户取得相关商品控制权时点确认收入。在判断客户是否已取得商品控制权时，企业应当考虑下列迹象：</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（一）企业就该商品享有现时收款权利，即客户就该商品负有现时付款义务。</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（二）企业已将该商品的法定所有权转移给客户，即客户已拥有该商品的法定所有权。</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（三）企业已将该商品实物转移给客户，即客户已实物占有该商品。</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（四）企业已将该商品所有权上的主要风险和报酬转移给客户，即客户已取得该商品所有权上的主要风险和报酬。</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（五）客户已接受该商品。</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（六）其他表明客户已取得商品控制权的迹象。</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第三章</w:t>
      </w:r>
      <w:r>
        <w:rPr>
          <w:rFonts w:ascii="宋体" w:eastAsia="宋体" w:hAnsi="宋体" w:cs="宋体" w:hint="eastAsia"/>
          <w:b/>
          <w:bCs/>
          <w:color w:val="333333"/>
          <w:szCs w:val="24"/>
          <w:shd w:val="clear" w:color="auto" w:fill="FFFFFF"/>
        </w:rPr>
        <w:t>  </w:t>
      </w:r>
      <w:r>
        <w:rPr>
          <w:rFonts w:ascii="宋体" w:eastAsia="宋体" w:hAnsi="宋体" w:cs="宋体" w:hint="eastAsia"/>
          <w:b/>
          <w:bCs/>
          <w:color w:val="333333"/>
          <w:szCs w:val="24"/>
          <w:shd w:val="clear" w:color="auto" w:fill="FFFFFF"/>
        </w:rPr>
        <w:t>计</w:t>
      </w:r>
      <w:r>
        <w:rPr>
          <w:rFonts w:ascii="宋体" w:eastAsia="宋体" w:hAnsi="宋体" w:cs="宋体" w:hint="eastAsia"/>
          <w:b/>
          <w:bCs/>
          <w:color w:val="333333"/>
          <w:szCs w:val="24"/>
          <w:shd w:val="clear" w:color="auto" w:fill="FFFFFF"/>
        </w:rPr>
        <w:t>  </w:t>
      </w:r>
      <w:r>
        <w:rPr>
          <w:rFonts w:ascii="宋体" w:eastAsia="宋体" w:hAnsi="宋体" w:cs="宋体" w:hint="eastAsia"/>
          <w:b/>
          <w:bCs/>
          <w:color w:val="333333"/>
          <w:szCs w:val="24"/>
          <w:shd w:val="clear" w:color="auto" w:fill="FFFFFF"/>
        </w:rPr>
        <w:t>量</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第十四条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企业应当按照分摊至各单项履约义务的交易价格计量收入。</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交易价格，是指企业因向客户转让商品而预期有权收取的对价金额。企业代第三方收取的款项以及企业预期将退还给客户的款项，应当作为负债进行会计处理，不计入交易价格。</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第十五条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企业应当根据合同条款，并结合其以往的习惯做法确定交易价格。在确定交易价格时，企业应当考虑可变对价、合同中存在的重大融资成分、非现金对价、应付客户对价等因素的影响。</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第十六条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合同中存在可变对价的，企业应当按照期望值或最可能发生金额确定可变对价的最佳估计数，但包含可变对价的交易价格，应当不超过在相关不确定性消除时累计已确认收入极可能不会发生重大转回的金额。企业在评估累计已确认收入是否极可能不会发生重大转回时，应当同时考虑收入转回的可能性及其比重。</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每一资产负债表日，企业应当重新估计应计入交易价格</w:t>
      </w:r>
      <w:r>
        <w:rPr>
          <w:rFonts w:ascii="宋体" w:eastAsia="宋体" w:hAnsi="宋体" w:cs="宋体" w:hint="eastAsia"/>
          <w:color w:val="333333"/>
          <w:szCs w:val="24"/>
          <w:shd w:val="clear" w:color="auto" w:fill="FFFFFF"/>
        </w:rPr>
        <w:t>的可变对价金额。可变对价金额发生变动的，按照本准则第二十四条和第二十五条规定进行会计处理。</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第十七条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合同中存在重大融资成分的，企业应当按照假定客户在取得商品控制权时即以现金支付的应付金额确定交易价格。该交易价格与合同对价之间的差额，应当在合同期间内采用实际利率法摊销。</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合同开始日，企业预计客户取得商品控制权与客户支付价款间隔不超过一年的，可以不考虑合同中存在的重大融资成分。</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第十八条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客户支付非现金对价的，企业应当按照非现金对价的公允价值确定交易价格。非现金对价的公允价值不能合理估计</w:t>
      </w:r>
      <w:r>
        <w:rPr>
          <w:rFonts w:ascii="宋体" w:eastAsia="宋体" w:hAnsi="宋体" w:cs="宋体" w:hint="eastAsia"/>
          <w:color w:val="333333"/>
          <w:szCs w:val="24"/>
          <w:shd w:val="clear" w:color="auto" w:fill="FFFFFF"/>
        </w:rPr>
        <w:t>的，企业应当参照其承诺向客户转让商品的单独售价间接确定交易价格。非现金对价的公允价值因对价形式以外的原因而发生变动的，应当作为可变对价，按照本准则第十六条规定进行会计处理。</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单独售价，是指企业向客户单独销售商品的价格。</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第十九条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应付客户（或向客户购买本企业商品的第三方，本条下同）对价的，应当将该应付对价冲减交易价格，并在确认相关收入与支付（或承诺支付）客户对价二者孰晚的时点冲减当期收入，但应付客户对价是为了向客户取得其他可明确区分商品的除外。</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企业应付客户对价是为了向客户取得其他可明确区分商品的，应当采用与本企业其他采购相一致的方式确认所购买的商品。企业应付客户对价超过向客户取得可明确区分商品公允价值的，超过金额应当冲减交易价格。向客户取得的可明确区分商品公允价值不能合理估计的，企业应当将应付客户对价全额冲减交易价格。</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合同中包含两项或多项履约义务的，企业应当在合同开始日，按照各单项履约义务所承诺商品的单独售价的相对比例，将交易价格分摊至各单项履约义务。企业不得因合同开始日之后单独售价的变动而重新分摊交易价格。</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w:t>
      </w:r>
      <w:r>
        <w:rPr>
          <w:rFonts w:ascii="宋体" w:eastAsia="宋体" w:hAnsi="宋体" w:cs="宋体" w:hint="eastAsia"/>
          <w:color w:val="333333"/>
          <w:szCs w:val="24"/>
          <w:shd w:val="clear" w:color="auto" w:fill="FFFFFF"/>
        </w:rPr>
        <w:t>一条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在类似环境下向类似客户单独销售商品的价格，应作为确定该商品单独售价的最佳证据。单独售价无法直接观察的，企业应当综合考虑其能够合理取得的全部相关信息，采用市场调整法、成本加成法、余值法等方法合理估计单独售价。在估计单独售价时，企业应当最大限度地采用可观察的输入值，并对类似的情况采用一致的估计方法。</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市场调整法，是指企业根据某商品或类似商品的市场售价考虑本企业的成本和毛利等进行适当调整后，确定其单独售价的方法。</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成本加成法，是指企业根据某商品的预计成本加上其合理毛利后的价格，确定其单独售</w:t>
      </w:r>
      <w:r>
        <w:rPr>
          <w:rFonts w:ascii="宋体" w:eastAsia="宋体" w:hAnsi="宋体" w:cs="宋体" w:hint="eastAsia"/>
          <w:color w:val="333333"/>
          <w:szCs w:val="24"/>
          <w:shd w:val="clear" w:color="auto" w:fill="FFFFFF"/>
        </w:rPr>
        <w:t>价的方法。</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余值法，是指企业根据合同交易价格减去合同中其他商品可观察的单独售价后的余值，确定某商品单独售价的方法。</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第二十二条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企业在商品近期售价波动幅度巨大，或者因未定价且未曾单独销售而使售价无法可靠确定时，可采用余值法估计其单独售价。</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第二十三条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对于合同折扣，企业应当在各单项履约义务之间按比例分摊。</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有确凿证据表明合同折扣仅与合同中一项或多项（而非全部）履约义务相关的，企业应当将该合同折扣分摊至相关一项或多项履约义务。</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合同折扣仅与合同中一项或多项（而非全部）履约义务相关，且企业采用余值法估计单独售价的，应当首先按照前款规定在该一项或多项（而非全部）履约义务之间分摊合同折扣，然后采用余值法估计单独售价。</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合同折扣，是指合同中各单项履约义务所承诺商品的单独售价之和高于合同交易价格的金额。</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第二十四条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对于可变对价及可变对价的后续变动额，企业应当按照本准则第二十条至第二十三条规定，将其分摊至与之相关的一项或多项履约义务，或者分摊至构成单项履约义务的一系列可明确区分商品中的一项或多项商品。</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对于已履行的履</w:t>
      </w:r>
      <w:r>
        <w:rPr>
          <w:rFonts w:ascii="宋体" w:eastAsia="宋体" w:hAnsi="宋体" w:cs="宋体" w:hint="eastAsia"/>
          <w:color w:val="333333"/>
          <w:szCs w:val="24"/>
          <w:shd w:val="clear" w:color="auto" w:fill="FFFFFF"/>
        </w:rPr>
        <w:t>约义务，其分摊的可变对价后续变动额应当调整变动当期的收入。</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第二十五条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合同变更之后发生可变对价后续变动的，企业应当区分下列三种情形分别进行会计处理：</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（一）合同变更属于本准则第八条（一）规定情形的，企业应当判断可变对价后续变动与哪一项合同相关，并按照本准则第二十四条规定进行会计处理。</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合同变更属于本准则第八条（二）规定情形，且可变对价后续变动与合同变更前已承诺可变对价相关的，企业应当首先将该可变对价后续变动额以原合同开始日确定的基础进行分摊，然后再将分摊至合同变更日尚未履行履约义务的该可变对价后续变动额以新合同开始日确定的基础进行二次分摊。</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（三）合同变更之后发生除本条（一）、（二）规定情形以外的可变对价后续变动的，企业应当将该可变对价后续变动额分摊至合同变更日尚未履行的履约义务。</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第四章</w:t>
      </w:r>
      <w:r>
        <w:rPr>
          <w:rFonts w:ascii="宋体" w:eastAsia="宋体" w:hAnsi="宋体" w:cs="宋体" w:hint="eastAsia"/>
          <w:b/>
          <w:bCs/>
          <w:color w:val="333333"/>
          <w:szCs w:val="24"/>
          <w:shd w:val="clear" w:color="auto" w:fill="FFFFFF"/>
        </w:rPr>
        <w:t>  </w:t>
      </w:r>
      <w:r>
        <w:rPr>
          <w:rFonts w:ascii="宋体" w:eastAsia="宋体" w:hAnsi="宋体" w:cs="宋体" w:hint="eastAsia"/>
          <w:b/>
          <w:bCs/>
          <w:color w:val="333333"/>
          <w:szCs w:val="24"/>
          <w:shd w:val="clear" w:color="auto" w:fill="FFFFFF"/>
        </w:rPr>
        <w:t>合同成本</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第二十六条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企业为履行合同发生的成本，不属于其他企</w:t>
      </w:r>
      <w:r>
        <w:rPr>
          <w:rFonts w:ascii="宋体" w:eastAsia="宋体" w:hAnsi="宋体" w:cs="宋体" w:hint="eastAsia"/>
          <w:color w:val="333333"/>
          <w:szCs w:val="24"/>
          <w:shd w:val="clear" w:color="auto" w:fill="FFFFFF"/>
        </w:rPr>
        <w:t>业会计准则规范范围且同时满足下列条件的，应当作为合同履约成本确认为一项资产：</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（一）该成本与一份当前或预期取得的合同直接相关，包括直接人工、直接材料、制造费用（或类似费用）、明确由客户承担的成本以及仅因该合同而发生的其他成本；</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（二）该成本增加了企业未来用于履行履约义务的资源；</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（三）该成本预期能够收回。</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第二十七条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企业应当在下列支出发生时，将其计入当期损益：</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（一）管理费用。</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（二）非正常消耗的直接材料、直接人工和制造费用（或类似费用），这些支出为履行合同发生，但未</w:t>
      </w:r>
      <w:r>
        <w:rPr>
          <w:rFonts w:ascii="宋体" w:eastAsia="宋体" w:hAnsi="宋体" w:cs="宋体" w:hint="eastAsia"/>
          <w:color w:val="333333"/>
          <w:szCs w:val="24"/>
          <w:shd w:val="clear" w:color="auto" w:fill="FFFFFF"/>
        </w:rPr>
        <w:t>反映在合同价格中。</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（三）与履约义务中已履行部分相关的支出。</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（四）无法在尚未履行的与已履行的履约义务之间区分的相关支出。</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第二十八条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企业为取得合同发生的增量成本预期能够收回的，应当作为合同取得成本确认为一项资产；但是，该资产摊销期限不超过一年的，可以在发生时计入当期损益。</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增量成本，是指企业不取得合同就不会发生的成本（如销售佣金等）。</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企业为取得合同发生的、除预期能够收回的增量成本之外的其他支出（如无论是否取得合同均会发生的差旅费等），应当在发生时计入当期损益，但是，明确由客户承担的除外。</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第二十九条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按照本准则第二十六条和第二十八条规定确认的资产（以下简称“与合同成本有关的资产”），应当采用与该资产相关的商品收入确认相同的基础进行摊销，计入当期损益。</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第三十条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与合同成本有关的资产，其账面价值高于下列两项的差额的，超出部分应当计提减值准备，并确认为资产减值损失：</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（一）企业因转让与该资产相关的商品预期能够取得的剩余对价；</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（二）为转让该相关商品估计将要发生的成本。</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以前期间减值的因素之后发生变化，使得前款（一）减（二）的差额高于该资产账面价值的，应当转回原已计提的资产减值准备，并计入当期损益，但转回后的资产账面价值不应超过假定不计提减值准备情况下该资产在转回日的账面价值。</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第三十一条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在确定与合同成本有关的资产的减值损失时，企业应当首先对按照其他相关企业会计准则确认的、与合同有关的其他资产确定减值损失；然后，按照本准则第三十条规定确定与合同成</w:t>
      </w:r>
      <w:r>
        <w:rPr>
          <w:rFonts w:ascii="宋体" w:eastAsia="宋体" w:hAnsi="宋体" w:cs="宋体" w:hint="eastAsia"/>
          <w:color w:val="333333"/>
          <w:szCs w:val="24"/>
          <w:shd w:val="clear" w:color="auto" w:fill="FFFFFF"/>
        </w:rPr>
        <w:t>本有关的资产的减值损失。</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企业按照《企业会计准则第８号</w:t>
      </w:r>
      <w:r>
        <w:rPr>
          <w:rFonts w:ascii="宋体" w:eastAsia="宋体" w:hAnsi="宋体" w:cs="宋体" w:hint="eastAsia"/>
          <w:color w:val="333333"/>
          <w:szCs w:val="24"/>
          <w:shd w:val="clear" w:color="auto" w:fill="FFFFFF"/>
        </w:rPr>
        <w:t>——</w:t>
      </w:r>
      <w:r>
        <w:rPr>
          <w:rFonts w:ascii="宋体" w:eastAsia="宋体" w:hAnsi="宋体" w:cs="宋体" w:hint="eastAsia"/>
          <w:color w:val="333333"/>
          <w:szCs w:val="24"/>
          <w:shd w:val="clear" w:color="auto" w:fill="FFFFFF"/>
        </w:rPr>
        <w:t>资产减值》测试相关资产组的减值情况时，应当将按照前款规定确定与合同成本有关的资产减值后的新账面价值计入相关资产组的账面价值。</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第五章</w:t>
      </w:r>
      <w:r>
        <w:rPr>
          <w:rFonts w:ascii="宋体" w:eastAsia="宋体" w:hAnsi="宋体" w:cs="宋体" w:hint="eastAsia"/>
          <w:b/>
          <w:bCs/>
          <w:color w:val="333333"/>
          <w:szCs w:val="24"/>
          <w:shd w:val="clear" w:color="auto" w:fill="FFFFFF"/>
        </w:rPr>
        <w:t>  </w:t>
      </w:r>
      <w:r>
        <w:rPr>
          <w:rFonts w:ascii="宋体" w:eastAsia="宋体" w:hAnsi="宋体" w:cs="宋体" w:hint="eastAsia"/>
          <w:b/>
          <w:bCs/>
          <w:color w:val="333333"/>
          <w:szCs w:val="24"/>
          <w:shd w:val="clear" w:color="auto" w:fill="FFFFFF"/>
        </w:rPr>
        <w:t>特定交易的会计处理</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第三十二条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对于附有销售退回条款的销售，企业应当在客户取得相关商品控制权时，按照因向客户转让商品而预期有权收取的对价金额（即，不包含预期因销售退回将退还的金额）确认收入，按照预期因销售退回将退还的金额确认负债；同时，按照预期将退回商品转让时的账面价值，扣除收回该商品预计发生的成本（包括退回商品的价值减损）后的余额，确认为一项资产，按照所转让商品转让时的账面价值，扣除上述资产成本的净额结转成本。</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每一资产负债表日，企业应当重新估计未来销售退回情况，如有变化，应当作为会计估计变更进行会计处理。</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第三十三条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对</w:t>
      </w:r>
      <w:r>
        <w:rPr>
          <w:rFonts w:ascii="宋体" w:eastAsia="宋体" w:hAnsi="宋体" w:cs="宋体" w:hint="eastAsia"/>
          <w:color w:val="333333"/>
          <w:szCs w:val="24"/>
          <w:shd w:val="clear" w:color="auto" w:fill="FFFFFF"/>
        </w:rPr>
        <w:t>于附有质量保证条款的销售，企业应当评估该质量保证是否在向客户保证所销售商品符合既定标准之外提供了一项单独的服务。企业提供额外服务的，应当作为单项履约义务，按照本准则规定进行会计处理；否则，质量保证责任应当按照《企业会计准则第</w:t>
      </w:r>
      <w:r>
        <w:rPr>
          <w:rFonts w:ascii="宋体" w:eastAsia="宋体" w:hAnsi="宋体" w:cs="宋体" w:hint="eastAsia"/>
          <w:color w:val="333333"/>
          <w:szCs w:val="24"/>
          <w:shd w:val="clear" w:color="auto" w:fill="FFFFFF"/>
        </w:rPr>
        <w:t>13</w:t>
      </w:r>
      <w:r>
        <w:rPr>
          <w:rFonts w:ascii="宋体" w:eastAsia="宋体" w:hAnsi="宋体" w:cs="宋体" w:hint="eastAsia"/>
          <w:color w:val="333333"/>
          <w:szCs w:val="24"/>
          <w:shd w:val="clear" w:color="auto" w:fill="FFFFFF"/>
        </w:rPr>
        <w:t>号</w:t>
      </w:r>
      <w:r>
        <w:rPr>
          <w:rFonts w:ascii="宋体" w:eastAsia="宋体" w:hAnsi="宋体" w:cs="宋体" w:hint="eastAsia"/>
          <w:color w:val="333333"/>
          <w:szCs w:val="24"/>
          <w:shd w:val="clear" w:color="auto" w:fill="FFFFFF"/>
        </w:rPr>
        <w:t>——</w:t>
      </w:r>
      <w:r>
        <w:rPr>
          <w:rFonts w:ascii="宋体" w:eastAsia="宋体" w:hAnsi="宋体" w:cs="宋体" w:hint="eastAsia"/>
          <w:color w:val="333333"/>
          <w:szCs w:val="24"/>
          <w:shd w:val="clear" w:color="auto" w:fill="FFFFFF"/>
        </w:rPr>
        <w:t>或有事项》规定进行会计处理。在评估质量保证是否在向客户保证所销售商品符合既定标准之外提供了一项单独的服务时，企业应当考虑该质量保证是否为法定要求、质量保证期限以及企业承诺履行任务的性质等因素。客户能够选择单独购买质量保证的，该质量保证构成单项履约义务。</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第三十四条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企业</w:t>
      </w:r>
      <w:r>
        <w:rPr>
          <w:rFonts w:ascii="宋体" w:eastAsia="宋体" w:hAnsi="宋体" w:cs="宋体" w:hint="eastAsia"/>
          <w:color w:val="333333"/>
          <w:szCs w:val="24"/>
          <w:shd w:val="clear" w:color="auto" w:fill="FFFFFF"/>
        </w:rPr>
        <w:t>应当根据其在向客户转让商品前是否拥有对该商品的控制权，来判断其从事交易时的身份是主要责任人还是代理人。企业在向客户转让商品前能够控制该商品的，该企业为主要责任人，应当按照已收或应收对价总额确认收入；否则，该企业为代理人，应当按照预期有权收取的佣金或手续费的金额确认收入，该金额应当按照已收或应收对价总额扣除应支付给其他相关方的价款后的净额，或者按照既定的佣金金额或比例等确定。</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企业向客户转让商品前能够控制该商品的情形包括：</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（一）企业自第三方取得商品或其他资产控制权后，再转让给客户。</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w:t>
      </w:r>
      <w:r>
        <w:rPr>
          <w:rFonts w:ascii="宋体" w:eastAsia="宋体" w:hAnsi="宋体" w:cs="宋体" w:hint="eastAsia"/>
          <w:color w:val="333333"/>
          <w:szCs w:val="24"/>
          <w:shd w:val="clear" w:color="auto" w:fill="FFFFFF"/>
        </w:rPr>
        <w:t>企业能够主导第三方代表本企业向客户提供服务。</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（三）企业自第三方取得商品控制权后，通过提供重大的服务将该商品与其他商品整合成某组合产出转让给客户。</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在具体判断向客户转让商品前是否拥有对该商品的控制权时，企业不应仅局限于合同的法律形式，而应当综合考虑所有相关事实和情况，这些事实和情况包括：</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（一）企业承担向客户转让商品的主要责任。</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（二）企业在转让商品之前或之后承担了该商品的存货风险。</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（三）企业有权自主决定所交易商品的价格。</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（四）其他相关事实和情况。</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第三十五条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对于附有客户额外购买选择权的销售，企业应当评估该选择权是否向客户提供了一项重大权利。企业提供重大权利的，应当作为单项履约义务，按照本准则第二十条至第二十四条规定将交易价格分摊至该履约义务，在客户未来行使购买选择权取得相关商品控制权时，或者该选择权失效时，确认相应的收入。客户额外购买选择权的单独售价无法直接观察的，企业应当综合考虑客户行使和不行使该选择权所能获得的折扣的差异、客户行使该选择权的可能性等全部相关信息后，予以合理估计。</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客户虽然有额外购买商品选择权，但客户行使该选择权购买商品时的价格反映</w:t>
      </w:r>
      <w:r>
        <w:rPr>
          <w:rFonts w:ascii="宋体" w:eastAsia="宋体" w:hAnsi="宋体" w:cs="宋体" w:hint="eastAsia"/>
          <w:color w:val="333333"/>
          <w:szCs w:val="24"/>
          <w:shd w:val="clear" w:color="auto" w:fill="FFFFFF"/>
        </w:rPr>
        <w:t>了这些商品单独售价的，不应被视为企业向该客户提供了一项重大权利。</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第三十六条</w:t>
      </w:r>
      <w:r>
        <w:rPr>
          <w:rFonts w:ascii="宋体" w:eastAsia="宋体" w:hAnsi="宋体" w:cs="宋体" w:hint="eastAsia"/>
          <w:b/>
          <w:bCs/>
          <w:color w:val="333333"/>
          <w:szCs w:val="24"/>
          <w:shd w:val="clear" w:color="auto" w:fill="FFFFFF"/>
        </w:rPr>
        <w:t xml:space="preserve">　</w:t>
      </w:r>
      <w:r>
        <w:rPr>
          <w:rFonts w:ascii="宋体" w:eastAsia="宋体" w:hAnsi="宋体" w:cs="宋体" w:hint="eastAsia"/>
          <w:color w:val="333333"/>
          <w:szCs w:val="24"/>
          <w:shd w:val="clear" w:color="auto" w:fill="FFFFFF"/>
        </w:rPr>
        <w:t>企业向客户授予知识产权许可的，应当按照本准则第九条和第十条规定评估该知识产权许可是否构成单项履约义务，构成单项履约义务的，应当进一步确定其是在某一时段内履行还是在某一时点履行。</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企业向客户授予知识产权许可，同时满足下列条件时，应当作为在某一时段内履行的履约义务确认相关收入；否则，应当作为在某一时点履行的履约义务确认相关收入：</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（一）合同要求或客户能够合理预期企业将从事对该项知识产权有重大影响的活动；</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w:t>
      </w:r>
      <w:r>
        <w:rPr>
          <w:rFonts w:ascii="宋体" w:eastAsia="宋体" w:hAnsi="宋体" w:cs="宋体" w:hint="eastAsia"/>
          <w:color w:val="333333"/>
          <w:szCs w:val="24"/>
          <w:shd w:val="clear" w:color="auto" w:fill="FFFFFF"/>
        </w:rPr>
        <w:t>该活动对客户将产生有利或不利影响；</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（三）该活动不会导致向客户转让某项商品。</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第三十七条</w:t>
      </w:r>
      <w:r>
        <w:rPr>
          <w:rFonts w:ascii="宋体" w:eastAsia="宋体" w:hAnsi="宋体" w:cs="宋体" w:hint="eastAsia"/>
          <w:b/>
          <w:bCs/>
          <w:color w:val="333333"/>
          <w:szCs w:val="24"/>
          <w:shd w:val="clear" w:color="auto" w:fill="FFFFFF"/>
        </w:rPr>
        <w:t xml:space="preserve">　</w:t>
      </w:r>
      <w:r>
        <w:rPr>
          <w:rFonts w:ascii="宋体" w:eastAsia="宋体" w:hAnsi="宋体" w:cs="宋体" w:hint="eastAsia"/>
          <w:color w:val="333333"/>
          <w:szCs w:val="24"/>
          <w:shd w:val="clear" w:color="auto" w:fill="FFFFFF"/>
        </w:rPr>
        <w:t>企业向客户授予知识产权许可，并约定按客户实际销售或使用情况收取特许权使用费的，应当在下列两项孰晚的时点确认收入：</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（一）客户后续销售或使用行为实际发生；</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（二）企业履行相关履约义务。</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第三十八条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对于售后回购交易，企业应当区分下列两种情形分别进行会计处理：</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企业因存在与客户的远期安排而负有回购义务或企业享有回购权利的，表明客户在销售时点并未取得相关商品控制权，企业应当作为租赁交易或融资交易进行相应的会计处理。其中，回购价格低于原售价的，应当视为租赁交易，按照《企业会计准则第</w:t>
      </w:r>
      <w:r>
        <w:rPr>
          <w:rFonts w:ascii="宋体" w:eastAsia="宋体" w:hAnsi="宋体" w:cs="宋体" w:hint="eastAsia"/>
          <w:color w:val="333333"/>
          <w:szCs w:val="24"/>
          <w:shd w:val="clear" w:color="auto" w:fill="FFFFFF"/>
        </w:rPr>
        <w:t>21</w:t>
      </w:r>
      <w:r>
        <w:rPr>
          <w:rFonts w:ascii="宋体" w:eastAsia="宋体" w:hAnsi="宋体" w:cs="宋体" w:hint="eastAsia"/>
          <w:color w:val="333333"/>
          <w:szCs w:val="24"/>
          <w:shd w:val="clear" w:color="auto" w:fill="FFFFFF"/>
        </w:rPr>
        <w:t>号</w:t>
      </w:r>
      <w:r>
        <w:rPr>
          <w:rFonts w:ascii="宋体" w:eastAsia="宋体" w:hAnsi="宋体" w:cs="宋体" w:hint="eastAsia"/>
          <w:color w:val="333333"/>
          <w:szCs w:val="24"/>
          <w:shd w:val="clear" w:color="auto" w:fill="FFFFFF"/>
        </w:rPr>
        <w:t>——</w:t>
      </w:r>
      <w:r>
        <w:rPr>
          <w:rFonts w:ascii="宋体" w:eastAsia="宋体" w:hAnsi="宋体" w:cs="宋体" w:hint="eastAsia"/>
          <w:color w:val="333333"/>
          <w:szCs w:val="24"/>
          <w:shd w:val="clear" w:color="auto" w:fill="FFFFFF"/>
        </w:rPr>
        <w:t>租赁》的相关规定进行会计处理；回购价格不低于原售价的，应当视为融资交易，在收到客户款项时确认金融负债，并将该款项和回购价格的差额在回购期间内确认为利息费用等。企业到期未行使回购权利的，应当在该回购权利到期时终止确认金融负债，同时确认收入。</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企业负有应客户要求回购商品义务的，应当在合同开始日评估客户是否具有行使该要求权的重大经济动因。客户具有行使该要求权重大经济动因的，企业应当将售后回购作为租赁交易或融资交易，按照本条（一）规定进行会计处理；否则，企业应当将其作为附有销售退回条款的销售交易，按照本准则第三十二条规定进行会计处理。</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售后回购，是指企业销售商品的同时承诺或有权选择日后再将该商品（包括相同或几乎相同的商品，或以该商品作为组成部分的商品）购回的销售方式。</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第三十九条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企业向客户预收销售商品款项的，应当首先将该款项</w:t>
      </w:r>
      <w:r>
        <w:rPr>
          <w:rFonts w:ascii="宋体" w:eastAsia="宋体" w:hAnsi="宋体" w:cs="宋体" w:hint="eastAsia"/>
          <w:color w:val="333333"/>
          <w:szCs w:val="24"/>
          <w:shd w:val="clear" w:color="auto" w:fill="FFFFFF"/>
        </w:rPr>
        <w:t>确认为负债，待履行了相关履约义务时再转为收入。当企业预收款项无需退回，且客户可能会放弃其全部或部分合同权利时，企业预期将有权获得与客户所放弃的合同权利相关的金额的，应当按照客户行使合同权利的模式按比例将上述金额确认为收入；否则，企业只有在客户要求其履行剩余履约义务的可能性极低时，才能将上述负债的相关余额转为收入。</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第四十条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企业在合同开始（或接近合同开始）日向客户收取的无需退回的初始费（如俱乐部的入会费等）应当计入交易价格。企业应当评估该初始费是</w:t>
      </w:r>
      <w:r>
        <w:rPr>
          <w:rFonts w:ascii="宋体" w:eastAsia="宋体" w:hAnsi="宋体" w:cs="宋体" w:hint="eastAsia"/>
          <w:color w:val="333333"/>
          <w:szCs w:val="24"/>
          <w:shd w:val="clear" w:color="auto" w:fill="FFFFFF"/>
        </w:rPr>
        <w:lastRenderedPageBreak/>
        <w:t>否与向客户转让已承诺的商品相关。该初始费与向客户转让已</w:t>
      </w:r>
      <w:r>
        <w:rPr>
          <w:rFonts w:ascii="宋体" w:eastAsia="宋体" w:hAnsi="宋体" w:cs="宋体" w:hint="eastAsia"/>
          <w:color w:val="333333"/>
          <w:szCs w:val="24"/>
          <w:shd w:val="clear" w:color="auto" w:fill="FFFFFF"/>
        </w:rPr>
        <w:t>承诺的商品相关，并且该商品构成单项履约义务的，企业应当在转让该商品时，按照分摊至该商品的交易价格确认收入；该初始费与向客户转让已承诺的商品相关，但该商品不构成单项履约义务的，企业应当在包含该商品的单项履约义务履行时，按照分摊至该单项履约义务的交易价格确认收入；该初始费与向客户转让已承诺的商品不相关的，该初始费应当作为未来将转让商品的预收款，在未来转让该商品时确认为收入。</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企业收取了无需退回的初始费且为履行合同应开展初始活动，但这些活动本身并没有向客户转让已承诺的商品的，该初始费与未来将转让的已承诺商品</w:t>
      </w:r>
      <w:r>
        <w:rPr>
          <w:rFonts w:ascii="宋体" w:eastAsia="宋体" w:hAnsi="宋体" w:cs="宋体" w:hint="eastAsia"/>
          <w:color w:val="333333"/>
          <w:szCs w:val="24"/>
          <w:shd w:val="clear" w:color="auto" w:fill="FFFFFF"/>
        </w:rPr>
        <w:t>相关，应当在未来转让该商品时确认为收入，企业在确定履约进度时不应考虑这些初始活动；企业为该初始活动发生的支出应当按照本准则第二十六条和第二十七条规定确认为一项资产或计入当期损益。</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第六章</w:t>
      </w:r>
      <w:r>
        <w:rPr>
          <w:rFonts w:ascii="宋体" w:eastAsia="宋体" w:hAnsi="宋体" w:cs="宋体" w:hint="eastAsia"/>
          <w:b/>
          <w:bCs/>
          <w:color w:val="333333"/>
          <w:szCs w:val="24"/>
          <w:shd w:val="clear" w:color="auto" w:fill="FFFFFF"/>
        </w:rPr>
        <w:t>  </w:t>
      </w:r>
      <w:r>
        <w:rPr>
          <w:rFonts w:ascii="宋体" w:eastAsia="宋体" w:hAnsi="宋体" w:cs="宋体" w:hint="eastAsia"/>
          <w:b/>
          <w:bCs/>
          <w:color w:val="333333"/>
          <w:szCs w:val="24"/>
          <w:shd w:val="clear" w:color="auto" w:fill="FFFFFF"/>
        </w:rPr>
        <w:t>列</w:t>
      </w:r>
      <w:r>
        <w:rPr>
          <w:rFonts w:ascii="宋体" w:eastAsia="宋体" w:hAnsi="宋体" w:cs="宋体" w:hint="eastAsia"/>
          <w:b/>
          <w:bCs/>
          <w:color w:val="333333"/>
          <w:szCs w:val="24"/>
          <w:shd w:val="clear" w:color="auto" w:fill="FFFFFF"/>
        </w:rPr>
        <w:t>  </w:t>
      </w:r>
      <w:r>
        <w:rPr>
          <w:rFonts w:ascii="宋体" w:eastAsia="宋体" w:hAnsi="宋体" w:cs="宋体" w:hint="eastAsia"/>
          <w:b/>
          <w:bCs/>
          <w:color w:val="333333"/>
          <w:szCs w:val="24"/>
          <w:shd w:val="clear" w:color="auto" w:fill="FFFFFF"/>
        </w:rPr>
        <w:t>报</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第四十一条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企业应当根据本企业履行履约义务与客户付款之间的关系在资产负债表中列示合同资产或合同负债。企业拥有的、无条件（即，仅取决于时间流逝）向客户收取对价的权利应当作为应收款项单独列示。</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合同资产，是指企业已向客户转让商品而有权收取对价的权利，且该权利取决于时间流逝之外的其他因素。如企业向客户销售两项可明确区分的商品，企业因已交付其中一项商品而有权收取款项，但收取该款项还取决于企业交付另一项商品的，企业应当将该收款权利作为合同资产。</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合同负债，是指企业已收或应收客户对价而应向客户转让商品的义务。如企业在转让承诺的商品之前已收取的款项。</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按照本准则确认的合同资产的减值的计量和列报应当按照《企业会计准则第</w:t>
      </w:r>
      <w:r>
        <w:rPr>
          <w:rFonts w:ascii="宋体" w:eastAsia="宋体" w:hAnsi="宋体" w:cs="宋体" w:hint="eastAsia"/>
          <w:color w:val="333333"/>
          <w:szCs w:val="24"/>
          <w:shd w:val="clear" w:color="auto" w:fill="FFFFFF"/>
        </w:rPr>
        <w:t>22</w:t>
      </w:r>
      <w:r>
        <w:rPr>
          <w:rFonts w:ascii="宋体" w:eastAsia="宋体" w:hAnsi="宋体" w:cs="宋体" w:hint="eastAsia"/>
          <w:color w:val="333333"/>
          <w:szCs w:val="24"/>
          <w:shd w:val="clear" w:color="auto" w:fill="FFFFFF"/>
        </w:rPr>
        <w:t>号</w:t>
      </w:r>
      <w:r>
        <w:rPr>
          <w:rFonts w:ascii="宋体" w:eastAsia="宋体" w:hAnsi="宋体" w:cs="宋体" w:hint="eastAsia"/>
          <w:color w:val="333333"/>
          <w:szCs w:val="24"/>
          <w:shd w:val="clear" w:color="auto" w:fill="FFFFFF"/>
        </w:rPr>
        <w:t>——</w:t>
      </w:r>
      <w:r>
        <w:rPr>
          <w:rFonts w:ascii="宋体" w:eastAsia="宋体" w:hAnsi="宋体" w:cs="宋体" w:hint="eastAsia"/>
          <w:color w:val="333333"/>
          <w:szCs w:val="24"/>
          <w:shd w:val="clear" w:color="auto" w:fill="FFFFFF"/>
        </w:rPr>
        <w:t>金融工具确认和计量》和《企业会计准则第</w:t>
      </w:r>
      <w:r>
        <w:rPr>
          <w:rFonts w:ascii="宋体" w:eastAsia="宋体" w:hAnsi="宋体" w:cs="宋体" w:hint="eastAsia"/>
          <w:color w:val="333333"/>
          <w:szCs w:val="24"/>
          <w:shd w:val="clear" w:color="auto" w:fill="FFFFFF"/>
        </w:rPr>
        <w:t>37</w:t>
      </w:r>
      <w:r>
        <w:rPr>
          <w:rFonts w:ascii="宋体" w:eastAsia="宋体" w:hAnsi="宋体" w:cs="宋体" w:hint="eastAsia"/>
          <w:color w:val="333333"/>
          <w:szCs w:val="24"/>
          <w:shd w:val="clear" w:color="auto" w:fill="FFFFFF"/>
        </w:rPr>
        <w:t>号</w:t>
      </w:r>
      <w:r>
        <w:rPr>
          <w:rFonts w:ascii="宋体" w:eastAsia="宋体" w:hAnsi="宋体" w:cs="宋体" w:hint="eastAsia"/>
          <w:color w:val="333333"/>
          <w:szCs w:val="24"/>
          <w:shd w:val="clear" w:color="auto" w:fill="FFFFFF"/>
        </w:rPr>
        <w:t>——</w:t>
      </w:r>
      <w:r>
        <w:rPr>
          <w:rFonts w:ascii="宋体" w:eastAsia="宋体" w:hAnsi="宋体" w:cs="宋体" w:hint="eastAsia"/>
          <w:color w:val="333333"/>
          <w:szCs w:val="24"/>
          <w:shd w:val="clear" w:color="auto" w:fill="FFFFFF"/>
        </w:rPr>
        <w:t>金融工具列报》的规</w:t>
      </w:r>
      <w:r>
        <w:rPr>
          <w:rFonts w:ascii="宋体" w:eastAsia="宋体" w:hAnsi="宋体" w:cs="宋体" w:hint="eastAsia"/>
          <w:color w:val="333333"/>
          <w:szCs w:val="24"/>
          <w:shd w:val="clear" w:color="auto" w:fill="FFFFFF"/>
        </w:rPr>
        <w:t>定进行会计处理。</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第四十二条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企业应当在附注中披露与收入有关的下列信息：</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收入确认和计量所采用的会计政策、对于确定收入确认的时点和金额具有重大影响的判断以及这些判断的变更，包括确定履约进度的方法及采用该方法的原因、评估客户取得所转让商品控制权时点的相关判断，在确定交易价格、估计计入交易价格的可变对价、分摊交易价格以及计量预期将退还给客户的款项等类似义务时所采用的方法、输入值和假设等。</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（二）与合同相关的下列信息：</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1. </w:t>
      </w:r>
      <w:r>
        <w:rPr>
          <w:rFonts w:ascii="宋体" w:eastAsia="宋体" w:hAnsi="宋体" w:cs="宋体" w:hint="eastAsia"/>
          <w:color w:val="333333"/>
          <w:szCs w:val="24"/>
          <w:shd w:val="clear" w:color="auto" w:fill="FFFFFF"/>
        </w:rPr>
        <w:t>与本期确认收入相关的信息，包括与客户之间的合同产生的收入</w:t>
      </w:r>
      <w:r>
        <w:rPr>
          <w:rFonts w:ascii="宋体" w:eastAsia="宋体" w:hAnsi="宋体" w:cs="宋体" w:hint="eastAsia"/>
          <w:color w:val="333333"/>
          <w:szCs w:val="24"/>
          <w:shd w:val="clear" w:color="auto" w:fill="FFFFFF"/>
        </w:rPr>
        <w:t>、该收入按主要类别（如商品类型、经营地区、市场或客户类型、合同类型、商品转让的时间、合同期限、销售渠道等）分解的信息以及该分解信息与每一报告分部的收入之间的关系等。</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w:t>
      </w:r>
      <w:r>
        <w:rPr>
          <w:rFonts w:ascii="宋体" w:eastAsia="宋体" w:hAnsi="宋体" w:cs="宋体" w:hint="eastAsia"/>
          <w:color w:val="333333"/>
          <w:szCs w:val="24"/>
          <w:shd w:val="clear" w:color="auto" w:fill="FFFFFF"/>
        </w:rPr>
        <w:t>2. </w:t>
      </w:r>
      <w:r>
        <w:rPr>
          <w:rFonts w:ascii="宋体" w:eastAsia="宋体" w:hAnsi="宋体" w:cs="宋体" w:hint="eastAsia"/>
          <w:color w:val="333333"/>
          <w:szCs w:val="24"/>
          <w:shd w:val="clear" w:color="auto" w:fill="FFFFFF"/>
        </w:rPr>
        <w:t>与应收款项、合同资产和合同负债的账面价值相关的信息，包括与客户之间的合同产生的应收款项、合同资产和合同负债的期初和期末账面价值、对上述应收款项和合同资产确认的减值损失、在本期确认的包括在合同负债期初账面价值中的收入、前期已经履行（或部分履行）的履约义务在本期调整的收入、履行履约义务的时间与通常的付款时间之间的关系以及此类因素对合同资</w:t>
      </w:r>
      <w:r>
        <w:rPr>
          <w:rFonts w:ascii="宋体" w:eastAsia="宋体" w:hAnsi="宋体" w:cs="宋体" w:hint="eastAsia"/>
          <w:color w:val="333333"/>
          <w:szCs w:val="24"/>
          <w:shd w:val="clear" w:color="auto" w:fill="FFFFFF"/>
        </w:rPr>
        <w:t>产和合同负债账面价值的影响的定量或定性信息、合同资产和合同负债的账面价值在本期内发生的重大变动情况等。</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3. </w:t>
      </w:r>
      <w:r>
        <w:rPr>
          <w:rFonts w:ascii="宋体" w:eastAsia="宋体" w:hAnsi="宋体" w:cs="宋体" w:hint="eastAsia"/>
          <w:color w:val="333333"/>
          <w:szCs w:val="24"/>
          <w:shd w:val="clear" w:color="auto" w:fill="FFFFFF"/>
        </w:rPr>
        <w:t>与履约义务相关的信息，包括履约义务通常的履行时间、重要的支付条款、企业承诺转让的商品的性质（包括说明企业是否作为代理人）、企业承担的预期将退还给客户的款项等类似义务、质量保证的类型及相关义务等。</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4. </w:t>
      </w:r>
      <w:r>
        <w:rPr>
          <w:rFonts w:ascii="宋体" w:eastAsia="宋体" w:hAnsi="宋体" w:cs="宋体" w:hint="eastAsia"/>
          <w:color w:val="333333"/>
          <w:szCs w:val="24"/>
          <w:shd w:val="clear" w:color="auto" w:fill="FFFFFF"/>
        </w:rPr>
        <w:t>与分摊至剩余履约义务的交易价格相关的信息，包括分摊至本期末尚未履行（或部分未履行）履约义务的交易价格总额、上述金额确认为收入的预计时间的定量或定性信息、未包括在交易价格的对价金额（如可变对</w:t>
      </w:r>
      <w:r>
        <w:rPr>
          <w:rFonts w:ascii="宋体" w:eastAsia="宋体" w:hAnsi="宋体" w:cs="宋体" w:hint="eastAsia"/>
          <w:color w:val="333333"/>
          <w:szCs w:val="24"/>
          <w:shd w:val="clear" w:color="auto" w:fill="FFFFFF"/>
        </w:rPr>
        <w:t>价）等。</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与合同成本有关的资产相关的信息，包括确定该资产金额所做的判断、该资产的摊销方法、按该资产主要类别（如为取得合同发生的成本、为履行合同开展的初始活动发生的成本等）披露的期末账面价值以及本期确认的摊销及减值损失金额等。</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企业根据本准则第十七条规定因预计客户取得商品控制权与客户支付价款间隔未超过一年而未考虑合同中存在的重大融资成分，或者根据本准则第二十八条规定因合同取得成本的摊销期限未超过一年而将其在发生时计入当期损益的，应当披露该事实。</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第七章</w:t>
      </w:r>
      <w:r>
        <w:rPr>
          <w:rFonts w:ascii="宋体" w:eastAsia="宋体" w:hAnsi="宋体" w:cs="宋体" w:hint="eastAsia"/>
          <w:b/>
          <w:bCs/>
          <w:color w:val="333333"/>
          <w:szCs w:val="24"/>
          <w:shd w:val="clear" w:color="auto" w:fill="FFFFFF"/>
        </w:rPr>
        <w:t>  </w:t>
      </w:r>
      <w:r>
        <w:rPr>
          <w:rFonts w:ascii="宋体" w:eastAsia="宋体" w:hAnsi="宋体" w:cs="宋体" w:hint="eastAsia"/>
          <w:b/>
          <w:bCs/>
          <w:color w:val="333333"/>
          <w:szCs w:val="24"/>
          <w:shd w:val="clear" w:color="auto" w:fill="FFFFFF"/>
        </w:rPr>
        <w:t>衔接规定</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第四十三条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首次执行本准则的企业，应当根据首次执行本准则的累积影响数，调整首次执行本准则当年年初留存收益及财务报表其他相关项目金额，对可比期间信息不予调整。企业可以仅对在首次执行日尚未完成的合同的累积影响数进行调整。同时，企业应当在附注中披露，与收入相关会计准则制度的原规定相比，执行本准则对当期财务报表相关项目的影响金额，如有重大影响的，还需披露其原因。</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已完成的合同，是指企业按照与收入相关会计准则制度的原规定已完成合同中全部商品的转让的合同。尚未完成的合同，是指除已完成的合同之外的其他合同。</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第四十四条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对于最早可比期间期初之前或首次执行本准则当年年初之前发生的合同变更，企业可予以简化处理，即无需按照本准则第八条规定进行追溯调整，而是根据合同变更的最终安排，识别已履行的和尚未履行的履约义务、确定交易价格以及在已履行的和尚未履行的履约义务之间分摊交易价格。</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企业采用该简化处理方法的，应当对所有合同一致采用，并且在附注中披露该事实以及在合理范围内对采用该简化处理方法的影响所作的定性分析。</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lastRenderedPageBreak/>
        <w:t>第八章</w:t>
      </w:r>
      <w:r>
        <w:rPr>
          <w:rFonts w:ascii="宋体" w:eastAsia="宋体" w:hAnsi="宋体" w:cs="宋体" w:hint="eastAsia"/>
          <w:b/>
          <w:bCs/>
          <w:color w:val="333333"/>
          <w:szCs w:val="24"/>
          <w:shd w:val="clear" w:color="auto" w:fill="FFFFFF"/>
        </w:rPr>
        <w:t>  </w:t>
      </w:r>
      <w:r>
        <w:rPr>
          <w:rFonts w:ascii="宋体" w:eastAsia="宋体" w:hAnsi="宋体" w:cs="宋体" w:hint="eastAsia"/>
          <w:b/>
          <w:bCs/>
          <w:color w:val="333333"/>
          <w:szCs w:val="24"/>
          <w:shd w:val="clear" w:color="auto" w:fill="FFFFFF"/>
        </w:rPr>
        <w:t>附</w:t>
      </w:r>
      <w:r>
        <w:rPr>
          <w:rFonts w:ascii="宋体" w:eastAsia="宋体" w:hAnsi="宋体" w:cs="宋体" w:hint="eastAsia"/>
          <w:b/>
          <w:bCs/>
          <w:color w:val="333333"/>
          <w:szCs w:val="24"/>
          <w:shd w:val="clear" w:color="auto" w:fill="FFFFFF"/>
        </w:rPr>
        <w:t>  </w:t>
      </w:r>
      <w:r>
        <w:rPr>
          <w:rFonts w:ascii="宋体" w:eastAsia="宋体" w:hAnsi="宋体" w:cs="宋体" w:hint="eastAsia"/>
          <w:b/>
          <w:bCs/>
          <w:color w:val="333333"/>
          <w:szCs w:val="24"/>
          <w:shd w:val="clear" w:color="auto" w:fill="FFFFFF"/>
        </w:rPr>
        <w:t>则</w:t>
      </w:r>
      <w:r>
        <w:rPr>
          <w:rFonts w:ascii="宋体" w:eastAsia="宋体" w:hAnsi="宋体" w:cs="宋体" w:hint="eastAsia"/>
          <w:color w:val="333333"/>
          <w:szCs w:val="24"/>
          <w:shd w:val="clear" w:color="auto" w:fill="FFFFFF"/>
        </w:rPr>
        <w:t> </w:t>
      </w:r>
    </w:p>
    <w:p w:rsidR="00B27DF5" w:rsidRDefault="0006297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第四十五条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本准则自</w:t>
      </w:r>
      <w:r>
        <w:rPr>
          <w:rFonts w:ascii="宋体" w:eastAsia="宋体" w:hAnsi="宋体" w:cs="宋体" w:hint="eastAsia"/>
          <w:color w:val="333333"/>
          <w:szCs w:val="24"/>
          <w:shd w:val="clear" w:color="auto" w:fill="FFFFFF"/>
        </w:rPr>
        <w:t>2018</w:t>
      </w:r>
      <w:r>
        <w:rPr>
          <w:rFonts w:ascii="宋体" w:eastAsia="宋体" w:hAnsi="宋体" w:cs="宋体" w:hint="eastAsia"/>
          <w:color w:val="333333"/>
          <w:szCs w:val="24"/>
          <w:shd w:val="clear" w:color="auto" w:fill="FFFFFF"/>
        </w:rPr>
        <w:t>年</w:t>
      </w:r>
      <w:r>
        <w:rPr>
          <w:rFonts w:ascii="宋体" w:eastAsia="宋体" w:hAnsi="宋体" w:cs="宋体" w:hint="eastAsia"/>
          <w:color w:val="333333"/>
          <w:szCs w:val="24"/>
          <w:shd w:val="clear" w:color="auto" w:fill="FFFFFF"/>
        </w:rPr>
        <w:t>1</w:t>
      </w:r>
      <w:r>
        <w:rPr>
          <w:rFonts w:ascii="宋体" w:eastAsia="宋体" w:hAnsi="宋体" w:cs="宋体" w:hint="eastAsia"/>
          <w:color w:val="333333"/>
          <w:szCs w:val="24"/>
          <w:shd w:val="clear" w:color="auto" w:fill="FFFFFF"/>
        </w:rPr>
        <w:t>月</w:t>
      </w:r>
      <w:r>
        <w:rPr>
          <w:rFonts w:ascii="宋体" w:eastAsia="宋体" w:hAnsi="宋体" w:cs="宋体" w:hint="eastAsia"/>
          <w:color w:val="333333"/>
          <w:szCs w:val="24"/>
          <w:shd w:val="clear" w:color="auto" w:fill="FFFFFF"/>
        </w:rPr>
        <w:t>1</w:t>
      </w:r>
      <w:r>
        <w:rPr>
          <w:rFonts w:ascii="宋体" w:eastAsia="宋体" w:hAnsi="宋体" w:cs="宋体" w:hint="eastAsia"/>
          <w:color w:val="333333"/>
          <w:szCs w:val="24"/>
          <w:shd w:val="clear" w:color="auto" w:fill="FFFFFF"/>
        </w:rPr>
        <w:t>日起施行。</w:t>
      </w:r>
    </w:p>
    <w:p w:rsidR="00B27DF5" w:rsidRDefault="00B27DF5"/>
    <w:sectPr w:rsidR="00B27DF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06297D"/>
    <w:rsid w:val="002E64C2"/>
    <w:rsid w:val="00561186"/>
    <w:rsid w:val="00B27DF5"/>
    <w:rsid w:val="00C301AA"/>
    <w:rsid w:val="1F2D76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1704</Words>
  <Characters>9719</Characters>
  <Application>Microsoft Office Word</Application>
  <DocSecurity>0</DocSecurity>
  <Lines>80</Lines>
  <Paragraphs>22</Paragraphs>
  <ScaleCrop>false</ScaleCrop>
  <Company/>
  <LinksUpToDate>false</LinksUpToDate>
  <CharactersWithSpaces>11401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3</cp:revision>
  <dcterms:created xsi:type="dcterms:W3CDTF">2022-03-17T06:05:00Z</dcterms:created>
  <dcterms:modified xsi:type="dcterms:W3CDTF">2022-03-21T06:01:00Z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B5B43BA5F47B4619AE31A7E71A74DA2C</vt:lpwstr>
  </property>
</Properties>
</file>