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ascii="宋体" w:hAnsi="宋体" w:eastAsia="宋体" w:cs="宋体"/>
          <w:sz w:val="24"/>
          <w:szCs w:val="24"/>
        </w:rPr>
        <w:t>永续债相关会计处理的规定 为进一步明确永续债的会计处理，根据《企业会计准则 第 22 号——金融工具确认和计量》（以下简称第 22 号准则）、 《企业会计准则第 37 号——金融工具列报》（以下简称第 37 号准则）等相关企业会计准则规定，现对永续债相关会计处 理规定如下。 一、关于总体要求 已执行 2017 年修订的第 22 号准则（财会〔2017〕7 号） 和第 37 号准则（财会〔2017〕14 号，以下统称新金融工具 准则）的企业，应当按照新金融工具准则和本规定，对永续 债进行会计处理。 仍执行 2006 年印发的第 22 号准则（财会〔2006〕3 号） 和 2014 年修订的第 37 号准则（财会〔2014〕23 号，以下统 称原金融工具准则）的企业，应当按照原金融工具准则和本 规定，对永续债进行会计处理。 本规定适用于执行企业会计准则的企业依照国家相关 规定在境内外发行的永续债和其他类似工具。 二、关于永续债发行方会计分类应当考虑的因素 永续债发行方在确定永续债的会计分类是权益工具还 是金融负债（以下简称会计分类）时，应当根据第 37 号准 2 则规定同时考虑下列因素： （一）关于到期日。 永续债发行方在确定永续债会计分类时，应当以合同到 期日等条款内含的经济实质为基础，谨慎判断是否能无条件 地避免交付现金或其他金融资产的合同义务。当永续债合同 其他条款未导致发行方承担交付现金或其他金融资产的合 同义务时，发行方应当区分下列情况处理： 1. 永续债合同明确规定无固定到期日且持有方在任何 情况下均无权要求发行方赎回该永续债或清算的，通常表明 发行方没有交付现金或其他金融资产的合同义务。 2. 永续债合同未规定固定到期日且同时规定了未来赎 回时间（即“初始期限”）的： （1）当该初始期限仅约定为发行方清算日时，通常表 明发行方没有交付现金或其他金融资产的合同义务。但清算 确定将会发生且不受发行方控制，或者清算发生与否取决于 该永续债持有方的，发行方仍具有交付现金或其他金融资产 的合同义务。 （2）当该初始期限不是发行方清算日且发行方能自主 决定是否赎回永续债时，发行方应当谨慎分析自身是否能无 条件地自主决定不行使赎回权。如不能，通常表明发行方有 交付现金或其他金融资产的合同义务。 （二）关于清偿顺序。 3 永续债发行方在确定永续债会计分类时，应当考虑合同 中关于清偿顺序的条款。当永续债合同其他条款未导致发行 方承担交付现金或其他金融资产的合同义务时，发行方应当 区分下列情况处理： 1. 合同规定发行方清算时永续债劣后于发行方发行的 普通债券和其他债务的，通常表明发行方没有交付现金或其 他金融资产的合同义务。 2. 合同规定发行方清算时永续债与发行方发行的普通 债券和其他债务处于相同清偿顺序的，应当审慎考虑此清偿 顺序是否会导致持有方对发行方承担交付现金或其他金融 资产合同义务的预期，并据此确定其会计分类。 （三）关于利率跳升和间接义务。 永续债发行方在确定永续债会计分类时，应当考虑第 37 号准则第十条规定的“间接义务”。永续债合同规定没有固定 到期日、同时规定了未来赎回时间、发行方有权自主决定未 来是否赎回且如果发行方决定不赎回则永续债票息率上浮 （即“利率跳升”或“票息递增”）的，发行方应当结合所处实 际环境考虑该利率跳升条款是否构成交付现金或其他金融 资产的合同义务。如果跳升次数有限、有最高票息限制（即 “封顶”）且封顶利率未超过同期同行业同类型工具平均的利 率水平，或者跳升总幅度较小且封顶利率未超过同期同行业 同类型工具平均的利率水平，可能不构成间接义务；如果永 4 续债合同条款虽然规定了票息封顶，但该封顶票息水平超过 同期同行业同类型工具平均的利率水平，通常构成间接义务。 三、关于永续债持有方会计分类的要求 除符合《企业会计准则第 2 号——长期股权投资》（财 会〔2014〕14 号）规定适用该准则的外，永续债持有方应当 区分下列情况对永续债进行会计处理： （一）持有方已执行新金融工具准则。 持有方在判断持有的永续债是否属于权益工具投资时， 应当遵循第 22 号准则和第 37 号准则的相关规定。对于属于 权益工具投资的永续债，持有方应当按照第 22 号准则的规 定将其分类为以公允价值计量且其变动计入当期损益的金 融资产，或在符合条件时对非交易性权益工具投资初始指定 为以公允价值计量且其变动计入其他综合收益。对于不属于 权益工具投资的永续债，持有方应当按照该准则规定将其分 类为以摊余成本计量的金融资产，以公允价值计量且其变动 计入其他综合收益的金融资产，或以公允价值计量且其变动 计入当期损益的金融资产。在判断永续债的合同现金流量特 征时，持有方必须严格遵循第 22 号准则第十六条至第十九 条的规定，谨慎考虑永续债中包含的选择权。 （二）持有方暂未执行新金融工具准则。 持有方在判断持有的永续债属于权益工具投资还是债 务工具投资时，应当遵循第 22 号准则和第 37 号准则的相关 5 规定，通常应当与发行方对该永续债的会计分类原则保持一 致。对于属于权益工具投资的永续债，持有方应当按照第 22 号准则的规定将其分类为以公允价值计量且其变动计入当 期损益的金融资产，或可供出售金融资产（权益工具投资） 等，符合第 22 号准则有关规定的还应当分拆相关的嵌入衍 生工具。对于属于债务工具投资的永续债，持有方应当按照 第 22 号准则规定将其分类为以公允价值计量且其变动计入 当期损益的金融资产，或可供出售金融资产（债务工具投资）。 四、生效日期 本规定自发布之日起施行。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AA"/>
    <w:rsid w:val="002E64C2"/>
    <w:rsid w:val="00561186"/>
    <w:rsid w:val="00C301AA"/>
    <w:rsid w:val="7A5F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2022-03-17T06:05:00Z</dcterms:created>
  <dc:creator>苏云</dc:creator>
  <cp:lastModifiedBy>lenovo</cp:lastModifiedBy>
  <dcterms:modified xsi:type="dcterms:W3CDTF">2022-03-18T03:17:35Z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5A4C2860EC4445A6A3988780183E284E</vt:lpwstr>
  </property>
</Properties>
</file>