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Cs/>
          <w:spacing w:val="20"/>
          <w:sz w:val="44"/>
        </w:rPr>
      </w:pPr>
    </w:p>
    <w:p>
      <w:pPr>
        <w:spacing w:line="500" w:lineRule="exact"/>
        <w:jc w:val="center"/>
        <w:rPr>
          <w:rFonts w:ascii="宋体" w:hAnsi="宋体" w:cs="宋体"/>
          <w:b/>
          <w:spacing w:val="20"/>
          <w:sz w:val="52"/>
          <w:szCs w:val="52"/>
        </w:rPr>
      </w:pPr>
      <w:r>
        <w:rPr>
          <w:rFonts w:hint="eastAsia" w:ascii="宋体" w:hAnsi="宋体" w:cs="宋体"/>
          <w:b/>
          <w:spacing w:val="20"/>
          <w:sz w:val="52"/>
          <w:szCs w:val="52"/>
        </w:rPr>
        <w:t>封闭式框架协议采购</w:t>
      </w:r>
    </w:p>
    <w:p>
      <w:pPr>
        <w:spacing w:line="500" w:lineRule="exact"/>
        <w:jc w:val="center"/>
        <w:rPr>
          <w:rFonts w:ascii="宋体" w:hAnsi="宋体" w:cs="宋体"/>
          <w:b/>
          <w:spacing w:val="20"/>
          <w:sz w:val="52"/>
          <w:szCs w:val="52"/>
        </w:rPr>
      </w:pPr>
      <w:r>
        <w:rPr>
          <w:rFonts w:hint="eastAsia" w:ascii="宋体" w:hAnsi="宋体" w:cs="宋体"/>
          <w:b/>
          <w:spacing w:val="20"/>
          <w:sz w:val="52"/>
          <w:szCs w:val="52"/>
        </w:rPr>
        <w:t>征集文件</w:t>
      </w:r>
    </w:p>
    <w:p>
      <w:pPr>
        <w:spacing w:line="500" w:lineRule="exact"/>
        <w:jc w:val="center"/>
        <w:rPr>
          <w:rFonts w:ascii="宋体" w:hAnsi="宋体" w:cs="宋体"/>
          <w:b/>
          <w:spacing w:val="20"/>
          <w:sz w:val="52"/>
          <w:szCs w:val="52"/>
        </w:rPr>
      </w:pPr>
    </w:p>
    <w:p>
      <w:pPr>
        <w:spacing w:line="500" w:lineRule="exact"/>
        <w:jc w:val="center"/>
        <w:rPr>
          <w:rFonts w:ascii="宋体" w:hAnsi="宋体" w:cs="宋体"/>
          <w:bCs/>
          <w:spacing w:val="20"/>
          <w:sz w:val="44"/>
        </w:rPr>
      </w:pPr>
    </w:p>
    <w:p>
      <w:pPr>
        <w:spacing w:line="500" w:lineRule="exact"/>
        <w:jc w:val="center"/>
        <w:rPr>
          <w:rFonts w:ascii="宋体" w:hAnsi="宋体" w:cs="宋体"/>
          <w:bCs/>
          <w:spacing w:val="20"/>
          <w:sz w:val="44"/>
        </w:rPr>
      </w:pPr>
    </w:p>
    <w:p>
      <w:pPr>
        <w:spacing w:line="500" w:lineRule="exact"/>
        <w:jc w:val="center"/>
        <w:rPr>
          <w:rFonts w:ascii="宋体" w:hAnsi="宋体" w:cs="宋体"/>
          <w:bCs/>
          <w:spacing w:val="20"/>
          <w:sz w:val="44"/>
        </w:rPr>
      </w:pPr>
    </w:p>
    <w:p>
      <w:pPr>
        <w:spacing w:line="500" w:lineRule="exact"/>
        <w:jc w:val="center"/>
        <w:rPr>
          <w:rFonts w:ascii="宋体" w:hAnsi="宋体" w:cs="宋体"/>
          <w:b/>
          <w:spacing w:val="20"/>
          <w:sz w:val="30"/>
          <w:szCs w:val="30"/>
        </w:rPr>
      </w:pPr>
      <w:r>
        <w:rPr>
          <w:rFonts w:hint="eastAsia" w:ascii="宋体" w:hAnsi="宋体" w:cs="宋体"/>
          <w:bCs/>
          <w:spacing w:val="20"/>
          <w:sz w:val="30"/>
          <w:szCs w:val="30"/>
        </w:rPr>
        <w:t xml:space="preserve">    </w:t>
      </w:r>
      <w:r>
        <w:rPr>
          <w:rFonts w:hint="eastAsia" w:ascii="宋体" w:hAnsi="宋体" w:cs="宋体"/>
          <w:b/>
          <w:spacing w:val="20"/>
          <w:sz w:val="30"/>
          <w:szCs w:val="30"/>
        </w:rPr>
        <w:t xml:space="preserve"> 项目名称：南通市财政局市本级行政事业单位资产评估、拍卖（租）服务单位征集项目</w:t>
      </w:r>
    </w:p>
    <w:p>
      <w:pPr>
        <w:rPr>
          <w:rFonts w:ascii="宋体" w:hAnsi="宋体" w:cs="宋体"/>
          <w:b/>
          <w:sz w:val="30"/>
          <w:szCs w:val="30"/>
        </w:rPr>
      </w:pPr>
    </w:p>
    <w:p>
      <w:pPr>
        <w:pStyle w:val="6"/>
        <w:spacing w:line="500" w:lineRule="exact"/>
        <w:rPr>
          <w:rFonts w:ascii="宋体" w:hAnsi="宋体" w:cs="宋体"/>
          <w:sz w:val="30"/>
          <w:szCs w:val="30"/>
        </w:rPr>
      </w:pPr>
    </w:p>
    <w:p>
      <w:pPr>
        <w:pStyle w:val="6"/>
        <w:spacing w:line="500" w:lineRule="exact"/>
        <w:rPr>
          <w:rFonts w:ascii="宋体" w:hAnsi="宋体" w:cs="宋体"/>
          <w:sz w:val="30"/>
          <w:szCs w:val="30"/>
        </w:rPr>
      </w:pPr>
    </w:p>
    <w:p>
      <w:pPr>
        <w:pStyle w:val="6"/>
        <w:spacing w:line="500" w:lineRule="exact"/>
        <w:rPr>
          <w:rFonts w:ascii="宋体" w:hAnsi="宋体" w:cs="宋体"/>
          <w:sz w:val="30"/>
          <w:szCs w:val="30"/>
        </w:rPr>
      </w:pPr>
    </w:p>
    <w:p>
      <w:pPr>
        <w:pStyle w:val="6"/>
        <w:spacing w:line="500" w:lineRule="exact"/>
        <w:rPr>
          <w:rFonts w:ascii="宋体" w:hAnsi="宋体" w:cs="宋体"/>
          <w:sz w:val="30"/>
          <w:szCs w:val="30"/>
        </w:rPr>
      </w:pPr>
      <w:r>
        <w:rPr>
          <w:rFonts w:hint="eastAsia" w:ascii="宋体" w:hAnsi="宋体" w:cs="宋体"/>
          <w:sz w:val="30"/>
          <w:szCs w:val="30"/>
        </w:rPr>
        <w:t>项目编号：XY2022048</w:t>
      </w:r>
    </w:p>
    <w:p>
      <w:pPr>
        <w:spacing w:line="500" w:lineRule="exact"/>
        <w:jc w:val="center"/>
        <w:rPr>
          <w:rFonts w:ascii="宋体" w:hAnsi="宋体" w:cs="宋体"/>
          <w:b/>
          <w:sz w:val="36"/>
        </w:rPr>
      </w:pPr>
    </w:p>
    <w:p>
      <w:pPr>
        <w:spacing w:line="500" w:lineRule="exact"/>
        <w:rPr>
          <w:rFonts w:ascii="宋体" w:hAnsi="宋体" w:cs="宋体"/>
          <w:b/>
          <w:sz w:val="32"/>
        </w:rPr>
      </w:pPr>
    </w:p>
    <w:p>
      <w:pPr>
        <w:rPr>
          <w:rFonts w:ascii="宋体" w:hAnsi="宋体" w:cs="宋体"/>
          <w:b/>
        </w:rPr>
      </w:pPr>
    </w:p>
    <w:p>
      <w:pPr>
        <w:pStyle w:val="2"/>
        <w:rPr>
          <w:rFonts w:ascii="宋体" w:hAnsi="宋体" w:cs="宋体"/>
          <w:b/>
        </w:rPr>
      </w:pPr>
    </w:p>
    <w:p>
      <w:pPr>
        <w:rPr>
          <w:rFonts w:ascii="宋体" w:hAnsi="宋体" w:cs="宋体"/>
          <w:b/>
        </w:rPr>
      </w:pPr>
    </w:p>
    <w:p>
      <w:pPr>
        <w:pStyle w:val="2"/>
        <w:rPr>
          <w:rFonts w:ascii="宋体" w:hAnsi="宋体" w:cs="宋体"/>
          <w:b/>
        </w:rPr>
      </w:pPr>
    </w:p>
    <w:p>
      <w:pPr>
        <w:rPr>
          <w:rFonts w:ascii="宋体" w:hAnsi="宋体" w:cs="宋体"/>
          <w:b/>
        </w:rPr>
      </w:pPr>
    </w:p>
    <w:p>
      <w:pPr>
        <w:pStyle w:val="2"/>
      </w:pPr>
    </w:p>
    <w:p>
      <w:pPr>
        <w:rPr>
          <w:rFonts w:ascii="宋体" w:hAnsi="宋体" w:cs="宋体"/>
          <w:b/>
          <w:sz w:val="32"/>
        </w:rPr>
      </w:pPr>
    </w:p>
    <w:p>
      <w:pPr>
        <w:spacing w:line="500" w:lineRule="exact"/>
        <w:rPr>
          <w:rFonts w:ascii="宋体" w:hAnsi="宋体" w:cs="宋体"/>
          <w:b/>
          <w:sz w:val="32"/>
        </w:rPr>
      </w:pPr>
    </w:p>
    <w:p>
      <w:pPr>
        <w:spacing w:before="101" w:line="546" w:lineRule="auto"/>
        <w:ind w:left="1477" w:right="143"/>
        <w:rPr>
          <w:rFonts w:ascii="宋体" w:hAnsi="宋体" w:cs="宋体"/>
          <w:b/>
          <w:spacing w:val="10"/>
          <w:sz w:val="32"/>
          <w:szCs w:val="32"/>
        </w:rPr>
      </w:pPr>
      <w:r>
        <w:rPr>
          <w:rFonts w:hint="eastAsia" w:ascii="宋体" w:hAnsi="宋体" w:cs="宋体"/>
          <w:b/>
          <w:spacing w:val="10"/>
          <w:sz w:val="32"/>
          <w:szCs w:val="32"/>
        </w:rPr>
        <w:t>征集人：南通市财政局</w:t>
      </w:r>
    </w:p>
    <w:p>
      <w:pPr>
        <w:spacing w:before="101" w:line="546" w:lineRule="auto"/>
        <w:ind w:left="1477" w:right="143"/>
        <w:rPr>
          <w:rFonts w:ascii="宋体" w:hAnsi="宋体" w:cs="宋体"/>
          <w:b/>
          <w:sz w:val="32"/>
          <w:szCs w:val="32"/>
        </w:rPr>
      </w:pPr>
      <w:r>
        <w:rPr>
          <w:rFonts w:hint="eastAsia" w:ascii="宋体" w:hAnsi="宋体" w:cs="宋体"/>
          <w:b/>
          <w:spacing w:val="10"/>
          <w:sz w:val="32"/>
          <w:szCs w:val="32"/>
        </w:rPr>
        <w:t>代理机构：江苏西亚项目管理咨询有限公司</w:t>
      </w:r>
    </w:p>
    <w:p>
      <w:pPr>
        <w:adjustRightInd w:val="0"/>
        <w:snapToGrid w:val="0"/>
        <w:ind w:left="-158" w:leftChars="-75"/>
        <w:jc w:val="center"/>
        <w:rPr>
          <w:rFonts w:ascii="宋体" w:hAnsi="宋体" w:cs="宋体"/>
          <w:b/>
          <w:snapToGrid w:val="0"/>
          <w:sz w:val="26"/>
          <w:szCs w:val="28"/>
          <w:u w:val="single"/>
        </w:rPr>
      </w:pPr>
      <w:r>
        <w:rPr>
          <w:rFonts w:hint="eastAsia" w:ascii="宋体" w:hAnsi="宋体" w:cs="宋体"/>
          <w:b/>
          <w:spacing w:val="-19"/>
          <w:sz w:val="32"/>
          <w:szCs w:val="32"/>
        </w:rPr>
        <w:t>2</w:t>
      </w:r>
      <w:r>
        <w:rPr>
          <w:rFonts w:hint="eastAsia" w:ascii="宋体" w:hAnsi="宋体" w:cs="宋体"/>
          <w:b/>
          <w:spacing w:val="-18"/>
          <w:sz w:val="32"/>
          <w:szCs w:val="32"/>
        </w:rPr>
        <w:t>022 年 12 月</w:t>
      </w:r>
    </w:p>
    <w:p>
      <w:pPr>
        <w:adjustRightInd w:val="0"/>
        <w:snapToGrid w:val="0"/>
        <w:ind w:right="-601" w:rightChars="-286"/>
        <w:rPr>
          <w:rFonts w:ascii="宋体" w:hAnsi="宋体" w:cs="宋体"/>
          <w:snapToGrid w:val="0"/>
          <w:sz w:val="32"/>
          <w:szCs w:val="32"/>
        </w:rPr>
      </w:pPr>
    </w:p>
    <w:p>
      <w:pPr>
        <w:adjustRightInd w:val="0"/>
        <w:snapToGrid w:val="0"/>
        <w:spacing w:line="360" w:lineRule="auto"/>
        <w:jc w:val="center"/>
        <w:rPr>
          <w:rFonts w:ascii="宋体" w:hAnsi="宋体" w:cs="宋体"/>
          <w:sz w:val="44"/>
          <w:szCs w:val="44"/>
        </w:rPr>
      </w:pPr>
    </w:p>
    <w:p>
      <w:pPr>
        <w:adjustRightInd w:val="0"/>
        <w:snapToGrid w:val="0"/>
        <w:spacing w:line="360" w:lineRule="auto"/>
        <w:jc w:val="center"/>
        <w:rPr>
          <w:rFonts w:ascii="宋体" w:hAnsi="宋体" w:cs="宋体"/>
          <w:sz w:val="44"/>
          <w:szCs w:val="44"/>
        </w:rPr>
      </w:pPr>
    </w:p>
    <w:p>
      <w:pPr>
        <w:adjustRightInd w:val="0"/>
        <w:snapToGrid w:val="0"/>
        <w:spacing w:line="360" w:lineRule="auto"/>
        <w:jc w:val="center"/>
        <w:rPr>
          <w:rFonts w:ascii="宋体" w:hAnsi="宋体" w:cs="宋体"/>
          <w:sz w:val="44"/>
          <w:szCs w:val="44"/>
        </w:rPr>
      </w:pPr>
    </w:p>
    <w:p>
      <w:pPr>
        <w:adjustRightInd w:val="0"/>
        <w:snapToGrid w:val="0"/>
        <w:spacing w:line="360" w:lineRule="auto"/>
        <w:jc w:val="center"/>
        <w:rPr>
          <w:rFonts w:ascii="宋体" w:hAnsi="宋体" w:cs="宋体"/>
          <w:sz w:val="44"/>
          <w:szCs w:val="44"/>
        </w:rPr>
      </w:pPr>
    </w:p>
    <w:p>
      <w:pPr>
        <w:adjustRightInd w:val="0"/>
        <w:snapToGrid w:val="0"/>
        <w:spacing w:line="360" w:lineRule="auto"/>
        <w:jc w:val="center"/>
        <w:rPr>
          <w:rFonts w:ascii="宋体" w:hAnsi="宋体" w:cs="宋体"/>
          <w:sz w:val="44"/>
          <w:szCs w:val="44"/>
        </w:rPr>
      </w:pPr>
      <w:r>
        <w:rPr>
          <w:rFonts w:hint="eastAsia" w:ascii="宋体" w:hAnsi="宋体" w:cs="宋体"/>
          <w:sz w:val="44"/>
          <w:szCs w:val="44"/>
        </w:rPr>
        <w:t>目 录</w:t>
      </w:r>
    </w:p>
    <w:p>
      <w:pPr>
        <w:adjustRightInd w:val="0"/>
        <w:snapToGrid w:val="0"/>
        <w:spacing w:line="360" w:lineRule="auto"/>
        <w:jc w:val="center"/>
        <w:rPr>
          <w:rFonts w:ascii="宋体" w:hAnsi="宋体" w:cs="宋体"/>
          <w:sz w:val="32"/>
          <w:szCs w:val="32"/>
        </w:rPr>
      </w:pPr>
    </w:p>
    <w:p>
      <w:pPr>
        <w:adjustRightInd w:val="0"/>
        <w:snapToGrid w:val="0"/>
        <w:spacing w:line="360" w:lineRule="auto"/>
        <w:jc w:val="center"/>
        <w:rPr>
          <w:rFonts w:ascii="宋体" w:hAnsi="宋体" w:cs="宋体"/>
          <w:sz w:val="32"/>
          <w:szCs w:val="32"/>
        </w:rPr>
      </w:pPr>
    </w:p>
    <w:p>
      <w:pPr>
        <w:tabs>
          <w:tab w:val="left" w:pos="7740"/>
        </w:tabs>
        <w:adjustRightInd w:val="0"/>
        <w:snapToGrid w:val="0"/>
        <w:spacing w:line="360" w:lineRule="auto"/>
        <w:ind w:firstLine="640" w:firstLineChars="200"/>
        <w:rPr>
          <w:rFonts w:ascii="宋体" w:hAnsi="宋体" w:cs="宋体"/>
          <w:spacing w:val="2"/>
          <w:sz w:val="32"/>
          <w:szCs w:val="32"/>
        </w:rPr>
      </w:pPr>
      <w:r>
        <w:rPr>
          <w:rFonts w:hint="eastAsia" w:ascii="宋体" w:hAnsi="宋体" w:cs="宋体"/>
          <w:bCs/>
          <w:sz w:val="32"/>
          <w:szCs w:val="32"/>
        </w:rPr>
        <w:t>第一部分  征集活动邀请</w:t>
      </w:r>
    </w:p>
    <w:p>
      <w:pPr>
        <w:tabs>
          <w:tab w:val="left" w:pos="7740"/>
        </w:tabs>
        <w:adjustRightInd w:val="0"/>
        <w:snapToGrid w:val="0"/>
        <w:spacing w:line="360" w:lineRule="auto"/>
        <w:ind w:firstLine="640" w:firstLineChars="200"/>
        <w:rPr>
          <w:rFonts w:ascii="宋体" w:hAnsi="宋体" w:cs="宋体"/>
          <w:spacing w:val="2"/>
          <w:sz w:val="32"/>
          <w:szCs w:val="32"/>
        </w:rPr>
      </w:pPr>
      <w:r>
        <w:rPr>
          <w:rFonts w:hint="eastAsia" w:ascii="宋体" w:hAnsi="宋体" w:cs="宋体"/>
          <w:bCs/>
          <w:sz w:val="32"/>
          <w:szCs w:val="32"/>
        </w:rPr>
        <w:t>第二部分  响应须知</w:t>
      </w:r>
    </w:p>
    <w:p>
      <w:pPr>
        <w:tabs>
          <w:tab w:val="left" w:pos="7740"/>
        </w:tabs>
        <w:adjustRightInd w:val="0"/>
        <w:snapToGrid w:val="0"/>
        <w:spacing w:line="360" w:lineRule="auto"/>
        <w:ind w:firstLine="640" w:firstLineChars="200"/>
        <w:rPr>
          <w:rFonts w:ascii="宋体" w:hAnsi="宋体" w:cs="宋体"/>
          <w:spacing w:val="2"/>
          <w:sz w:val="32"/>
          <w:szCs w:val="32"/>
        </w:rPr>
      </w:pPr>
      <w:r>
        <w:rPr>
          <w:rFonts w:hint="eastAsia" w:ascii="宋体" w:hAnsi="宋体" w:cs="宋体"/>
          <w:bCs/>
          <w:sz w:val="32"/>
          <w:szCs w:val="32"/>
        </w:rPr>
        <w:t>第三部分  项目需求</w:t>
      </w:r>
    </w:p>
    <w:p>
      <w:pPr>
        <w:tabs>
          <w:tab w:val="left" w:pos="7740"/>
        </w:tabs>
        <w:adjustRightInd w:val="0"/>
        <w:snapToGrid w:val="0"/>
        <w:spacing w:line="360" w:lineRule="auto"/>
        <w:ind w:firstLine="640" w:firstLineChars="200"/>
        <w:rPr>
          <w:rFonts w:ascii="宋体" w:hAnsi="宋体" w:cs="宋体"/>
          <w:spacing w:val="2"/>
          <w:sz w:val="32"/>
          <w:szCs w:val="32"/>
        </w:rPr>
      </w:pPr>
      <w:r>
        <w:rPr>
          <w:rFonts w:hint="eastAsia" w:ascii="宋体" w:hAnsi="宋体" w:cs="宋体"/>
          <w:sz w:val="32"/>
          <w:szCs w:val="32"/>
        </w:rPr>
        <w:t xml:space="preserve">第四部分  </w:t>
      </w:r>
      <w:r>
        <w:rPr>
          <w:rFonts w:hint="eastAsia" w:ascii="宋体" w:hAnsi="宋体" w:cs="宋体"/>
          <w:bCs/>
          <w:sz w:val="32"/>
          <w:szCs w:val="32"/>
        </w:rPr>
        <w:t>开启和评审</w:t>
      </w:r>
    </w:p>
    <w:p>
      <w:pPr>
        <w:tabs>
          <w:tab w:val="left" w:pos="7740"/>
        </w:tabs>
        <w:adjustRightInd w:val="0"/>
        <w:snapToGrid w:val="0"/>
        <w:spacing w:line="360" w:lineRule="auto"/>
        <w:ind w:firstLine="640" w:firstLineChars="200"/>
        <w:rPr>
          <w:rFonts w:ascii="宋体" w:hAnsi="宋体" w:cs="宋体"/>
          <w:bCs/>
          <w:sz w:val="32"/>
          <w:szCs w:val="32"/>
        </w:rPr>
      </w:pPr>
      <w:r>
        <w:rPr>
          <w:rFonts w:hint="eastAsia" w:ascii="宋体" w:hAnsi="宋体" w:cs="宋体"/>
          <w:bCs/>
          <w:sz w:val="32"/>
          <w:szCs w:val="32"/>
        </w:rPr>
        <w:t>第五部分  框架协议主要条款</w:t>
      </w:r>
    </w:p>
    <w:p>
      <w:pPr>
        <w:tabs>
          <w:tab w:val="left" w:pos="7740"/>
        </w:tabs>
        <w:adjustRightInd w:val="0"/>
        <w:snapToGrid w:val="0"/>
        <w:spacing w:line="360" w:lineRule="auto"/>
        <w:ind w:firstLine="640" w:firstLineChars="200"/>
        <w:rPr>
          <w:rFonts w:ascii="宋体" w:hAnsi="宋体" w:cs="宋体"/>
          <w:spacing w:val="2"/>
          <w:sz w:val="32"/>
          <w:szCs w:val="32"/>
        </w:rPr>
      </w:pPr>
      <w:r>
        <w:rPr>
          <w:rFonts w:hint="eastAsia" w:ascii="宋体" w:hAnsi="宋体" w:cs="宋体"/>
          <w:bCs/>
          <w:sz w:val="32"/>
          <w:szCs w:val="32"/>
        </w:rPr>
        <w:t>第六部分  响应文件组成</w:t>
      </w:r>
    </w:p>
    <w:p>
      <w:pPr>
        <w:spacing w:line="500" w:lineRule="exact"/>
        <w:rPr>
          <w:rFonts w:ascii="宋体" w:hAnsi="宋体" w:cs="宋体"/>
          <w:b/>
          <w:sz w:val="32"/>
          <w:szCs w:val="32"/>
        </w:rPr>
      </w:pPr>
    </w:p>
    <w:p>
      <w:pPr>
        <w:tabs>
          <w:tab w:val="left" w:pos="7740"/>
        </w:tabs>
        <w:spacing w:line="500" w:lineRule="exact"/>
        <w:rPr>
          <w:rFonts w:ascii="宋体" w:hAnsi="宋体" w:cs="宋体"/>
          <w:b/>
          <w:spacing w:val="2"/>
          <w:sz w:val="32"/>
          <w:szCs w:val="32"/>
        </w:rPr>
      </w:pPr>
    </w:p>
    <w:p>
      <w:pPr>
        <w:tabs>
          <w:tab w:val="left" w:pos="7740"/>
        </w:tabs>
        <w:spacing w:line="500" w:lineRule="exact"/>
        <w:rPr>
          <w:rFonts w:ascii="宋体" w:hAnsi="宋体" w:cs="宋体"/>
          <w:b/>
          <w:spacing w:val="2"/>
          <w:sz w:val="32"/>
          <w:szCs w:val="32"/>
        </w:rPr>
      </w:pPr>
    </w:p>
    <w:p>
      <w:pPr>
        <w:tabs>
          <w:tab w:val="left" w:pos="7740"/>
        </w:tabs>
        <w:spacing w:line="500" w:lineRule="exact"/>
        <w:rPr>
          <w:rFonts w:ascii="宋体" w:hAnsi="宋体" w:cs="宋体"/>
          <w:b/>
          <w:bCs/>
          <w:sz w:val="32"/>
          <w:szCs w:val="32"/>
        </w:rPr>
      </w:pPr>
    </w:p>
    <w:p>
      <w:pPr>
        <w:spacing w:line="500" w:lineRule="exact"/>
        <w:outlineLvl w:val="0"/>
        <w:rPr>
          <w:rFonts w:ascii="宋体" w:hAnsi="宋体" w:cs="宋体"/>
          <w:b/>
          <w:sz w:val="44"/>
          <w:szCs w:val="44"/>
        </w:rPr>
      </w:pPr>
    </w:p>
    <w:p>
      <w:pPr>
        <w:spacing w:line="500" w:lineRule="exact"/>
        <w:outlineLvl w:val="0"/>
        <w:rPr>
          <w:rFonts w:ascii="宋体" w:hAnsi="宋体" w:cs="宋体"/>
          <w:sz w:val="44"/>
          <w:szCs w:val="44"/>
        </w:rPr>
      </w:pPr>
    </w:p>
    <w:p>
      <w:pPr>
        <w:spacing w:line="500" w:lineRule="exact"/>
        <w:outlineLvl w:val="0"/>
        <w:rPr>
          <w:rFonts w:ascii="宋体" w:hAnsi="宋体" w:cs="宋体"/>
          <w:sz w:val="44"/>
          <w:szCs w:val="44"/>
        </w:rPr>
      </w:pPr>
    </w:p>
    <w:p>
      <w:pPr>
        <w:spacing w:line="500" w:lineRule="exact"/>
        <w:outlineLvl w:val="0"/>
        <w:rPr>
          <w:rFonts w:ascii="宋体" w:hAnsi="宋体" w:cs="宋体"/>
          <w:sz w:val="44"/>
          <w:szCs w:val="44"/>
        </w:rPr>
      </w:pPr>
    </w:p>
    <w:p>
      <w:pPr>
        <w:adjustRightInd w:val="0"/>
        <w:snapToGrid w:val="0"/>
        <w:spacing w:line="500" w:lineRule="exact"/>
        <w:jc w:val="center"/>
        <w:outlineLvl w:val="0"/>
        <w:rPr>
          <w:rFonts w:ascii="宋体" w:hAnsi="宋体" w:cs="宋体"/>
          <w:bCs/>
          <w:sz w:val="36"/>
          <w:szCs w:val="36"/>
        </w:rPr>
      </w:pPr>
    </w:p>
    <w:p>
      <w:pPr>
        <w:adjustRightInd w:val="0"/>
        <w:snapToGrid w:val="0"/>
        <w:spacing w:line="500" w:lineRule="exact"/>
        <w:jc w:val="center"/>
        <w:outlineLvl w:val="0"/>
        <w:rPr>
          <w:rFonts w:ascii="宋体" w:hAnsi="宋体" w:cs="宋体"/>
          <w:bCs/>
          <w:sz w:val="36"/>
          <w:szCs w:val="36"/>
        </w:rPr>
      </w:pPr>
    </w:p>
    <w:p>
      <w:pPr>
        <w:adjustRightInd w:val="0"/>
        <w:snapToGrid w:val="0"/>
        <w:spacing w:line="500" w:lineRule="exact"/>
        <w:jc w:val="center"/>
        <w:outlineLvl w:val="0"/>
        <w:rPr>
          <w:rFonts w:ascii="宋体" w:hAnsi="宋体" w:cs="宋体"/>
          <w:bCs/>
          <w:sz w:val="36"/>
          <w:szCs w:val="36"/>
        </w:rPr>
      </w:pPr>
    </w:p>
    <w:p>
      <w:pPr>
        <w:adjustRightInd w:val="0"/>
        <w:snapToGrid w:val="0"/>
        <w:spacing w:line="500" w:lineRule="exact"/>
        <w:jc w:val="center"/>
        <w:outlineLvl w:val="0"/>
        <w:rPr>
          <w:rFonts w:ascii="宋体" w:hAnsi="宋体" w:cs="宋体"/>
          <w:bCs/>
          <w:sz w:val="36"/>
          <w:szCs w:val="36"/>
        </w:rPr>
      </w:pPr>
    </w:p>
    <w:p>
      <w:pPr>
        <w:jc w:val="left"/>
        <w:rPr>
          <w:rFonts w:ascii="宋体" w:hAnsi="宋体" w:cs="宋体"/>
          <w:bCs/>
          <w:sz w:val="36"/>
          <w:szCs w:val="36"/>
        </w:rPr>
      </w:pPr>
    </w:p>
    <w:p>
      <w:pPr>
        <w:adjustRightInd w:val="0"/>
        <w:snapToGrid w:val="0"/>
        <w:spacing w:line="500" w:lineRule="exact"/>
        <w:jc w:val="center"/>
        <w:outlineLvl w:val="0"/>
        <w:rPr>
          <w:rFonts w:ascii="宋体" w:hAnsi="宋体" w:cs="宋体"/>
          <w:bCs/>
          <w:sz w:val="36"/>
          <w:szCs w:val="36"/>
        </w:rPr>
      </w:pPr>
      <w:r>
        <w:rPr>
          <w:rFonts w:hint="eastAsia" w:ascii="宋体" w:hAnsi="宋体" w:cs="宋体"/>
          <w:bCs/>
          <w:sz w:val="36"/>
          <w:szCs w:val="36"/>
        </w:rPr>
        <w:t xml:space="preserve">第一部分  </w:t>
      </w:r>
      <w:bookmarkStart w:id="0" w:name="OLE_LINK7"/>
      <w:bookmarkStart w:id="1" w:name="OLE_LINK5"/>
      <w:r>
        <w:rPr>
          <w:rFonts w:hint="eastAsia" w:ascii="宋体" w:hAnsi="宋体" w:cs="宋体"/>
          <w:bCs/>
          <w:sz w:val="36"/>
          <w:szCs w:val="36"/>
        </w:rPr>
        <w:t>征集活动邀请</w:t>
      </w:r>
    </w:p>
    <w:p>
      <w:pPr>
        <w:adjustRightInd w:val="0"/>
        <w:snapToGrid w:val="0"/>
        <w:spacing w:line="360" w:lineRule="auto"/>
        <w:ind w:firstLine="480" w:firstLineChars="200"/>
        <w:rPr>
          <w:rFonts w:ascii="宋体" w:hAnsi="宋体" w:cs="宋体"/>
          <w:sz w:val="24"/>
        </w:rPr>
      </w:pPr>
      <w:bookmarkStart w:id="2" w:name="OLE_LINK3"/>
      <w:bookmarkStart w:id="3" w:name="OLE_LINK2"/>
      <w:bookmarkStart w:id="4" w:name="OLE_LINK1"/>
      <w:bookmarkStart w:id="5" w:name="OLE_LINK4"/>
      <w:bookmarkStart w:id="6" w:name="OLE_LINK6"/>
      <w:r>
        <w:rPr>
          <w:rFonts w:hint="eastAsia" w:ascii="宋体" w:hAnsi="宋体" w:cs="宋体"/>
          <w:sz w:val="24"/>
        </w:rPr>
        <w:t>受南通市财政局的委托，江苏西亚项目管理咨询有限公司就南通市财政局市本级行政事业单位资产评估、拍卖（租）服务单位征集项目(项目编号: XY2022048)进行公开征集采购，欢迎符合条件的供应商响应。</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rPr>
      </w:pPr>
      <w:r>
        <w:rPr>
          <w:rFonts w:hint="eastAsia" w:ascii="宋体" w:hAnsi="宋体" w:cs="宋体"/>
          <w:sz w:val="24"/>
          <w:u w:val="single"/>
        </w:rPr>
        <w:t>南通市财政局市本级行政事业单位资产评估、拍卖（租）服务单位征集项目</w:t>
      </w:r>
      <w:r>
        <w:rPr>
          <w:rFonts w:hint="eastAsia" w:ascii="宋体" w:hAnsi="宋体" w:cs="宋体"/>
          <w:sz w:val="24"/>
        </w:rPr>
        <w:t>的潜在供应商应在南通市财政局官网获取征集文件，并</w:t>
      </w:r>
      <w:r>
        <w:rPr>
          <w:rFonts w:hint="eastAsia" w:ascii="宋体" w:hAnsi="宋体" w:cs="宋体"/>
          <w:sz w:val="24"/>
          <w:u w:val="single"/>
        </w:rPr>
        <w:t>于2023年1月7日08点00分</w:t>
      </w:r>
      <w:r>
        <w:rPr>
          <w:rFonts w:hint="eastAsia" w:ascii="宋体" w:hAnsi="宋体" w:cs="宋体"/>
          <w:sz w:val="24"/>
        </w:rPr>
        <w:t>（北京时间）前递交响应文件。</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 xml:space="preserve"> 一、项目基本情况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1、项目编号：XY2022048</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2、项目名称：南通市财政局市本级行政事业单位资产评估、拍卖（租）服务单位征集项目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标段一：资产评估 ； 标段二：拍卖（租）</w:t>
      </w:r>
    </w:p>
    <w:p>
      <w:pPr>
        <w:adjustRightInd w:val="0"/>
        <w:snapToGrid w:val="0"/>
        <w:spacing w:line="360" w:lineRule="auto"/>
        <w:ind w:firstLine="480" w:firstLineChars="200"/>
        <w:rPr>
          <w:rFonts w:ascii="宋体" w:hAnsi="宋体" w:cs="宋体"/>
          <w:sz w:val="24"/>
          <w:highlight w:val="yellow"/>
        </w:rPr>
      </w:pPr>
      <w:r>
        <w:rPr>
          <w:rFonts w:hint="eastAsia" w:ascii="宋体" w:hAnsi="宋体" w:cs="宋体"/>
          <w:sz w:val="24"/>
        </w:rPr>
        <w:t>3、预算金额：标段一约10万元；标段二约 10万元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4、最高限价：</w:t>
      </w:r>
    </w:p>
    <w:p>
      <w:pPr>
        <w:adjustRightInd w:val="0"/>
        <w:snapToGrid w:val="0"/>
        <w:spacing w:line="360" w:lineRule="auto"/>
        <w:ind w:firstLine="482" w:firstLineChars="200"/>
        <w:rPr>
          <w:rFonts w:ascii="宋体" w:hAnsi="宋体" w:cs="宋体"/>
          <w:sz w:val="24"/>
          <w:highlight w:val="yellow"/>
        </w:rPr>
      </w:pPr>
      <w:r>
        <w:rPr>
          <w:rFonts w:hint="eastAsia" w:ascii="宋体" w:hAnsi="宋体" w:cs="宋体"/>
          <w:b/>
          <w:bCs/>
          <w:sz w:val="24"/>
        </w:rPr>
        <w:t>标段一：</w:t>
      </w:r>
      <w:r>
        <w:rPr>
          <w:rFonts w:hint="eastAsia" w:ascii="宋体" w:hAnsi="宋体" w:cs="宋体"/>
          <w:sz w:val="24"/>
        </w:rPr>
        <w:t>采用费率报价，最高费率100%，高于最高限价的报价为无效报价。不足1000元的按1000元计算。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资产计费标准：</w:t>
      </w:r>
    </w:p>
    <w:tbl>
      <w:tblPr>
        <w:tblStyle w:val="16"/>
        <w:tblpPr w:vertAnchor="text" w:tblpX="447"/>
        <w:tblW w:w="44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55"/>
        <w:gridCol w:w="4616"/>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档次</w:t>
            </w:r>
          </w:p>
        </w:tc>
        <w:tc>
          <w:tcPr>
            <w:tcW w:w="2795" w:type="pct"/>
            <w:tcMar>
              <w:left w:w="108" w:type="dxa"/>
              <w:right w:w="108" w:type="dxa"/>
            </w:tcMar>
            <w:vAlign w:val="center"/>
          </w:tcPr>
          <w:p>
            <w:pPr>
              <w:adjustRightInd w:val="0"/>
              <w:snapToGrid w:val="0"/>
              <w:ind w:firstLine="480" w:firstLineChars="200"/>
              <w:jc w:val="center"/>
              <w:rPr>
                <w:rFonts w:ascii="宋体" w:hAnsi="宋体" w:cs="宋体"/>
                <w:sz w:val="24"/>
              </w:rPr>
            </w:pPr>
            <w:r>
              <w:rPr>
                <w:rFonts w:hint="eastAsia" w:ascii="宋体" w:hAnsi="宋体" w:cs="宋体"/>
                <w:sz w:val="24"/>
              </w:rPr>
              <w:t>资产评估价值（万元）</w:t>
            </w:r>
          </w:p>
        </w:tc>
        <w:tc>
          <w:tcPr>
            <w:tcW w:w="1444" w:type="pct"/>
            <w:tcMar>
              <w:left w:w="108" w:type="dxa"/>
              <w:right w:w="108" w:type="dxa"/>
            </w:tcMar>
            <w:vAlign w:val="center"/>
          </w:tcPr>
          <w:p>
            <w:pPr>
              <w:adjustRightInd w:val="0"/>
              <w:snapToGrid w:val="0"/>
              <w:ind w:firstLine="480" w:firstLineChars="200"/>
              <w:jc w:val="center"/>
              <w:rPr>
                <w:rFonts w:ascii="宋体" w:hAnsi="宋体" w:cs="宋体"/>
                <w:sz w:val="24"/>
              </w:rPr>
            </w:pPr>
            <w:r>
              <w:rPr>
                <w:rFonts w:hint="eastAsia" w:ascii="宋体" w:hAnsi="宋体" w:cs="宋体"/>
                <w:sz w:val="24"/>
              </w:rPr>
              <w:t>累进计费率‰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1</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25以下</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2</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25-50（含25，下同）</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3</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50-100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4</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100-1000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5</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1000-2000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6</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2000-5000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7</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5000-8000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8</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8000-10000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9</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10000-100000</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60" w:type="pct"/>
            <w:tcMar>
              <w:left w:w="108" w:type="dxa"/>
              <w:right w:w="108" w:type="dxa"/>
            </w:tcMar>
          </w:tcPr>
          <w:p>
            <w:pPr>
              <w:adjustRightInd w:val="0"/>
              <w:snapToGrid w:val="0"/>
              <w:jc w:val="center"/>
              <w:rPr>
                <w:rFonts w:ascii="宋体" w:hAnsi="宋体" w:cs="宋体"/>
                <w:sz w:val="24"/>
              </w:rPr>
            </w:pPr>
            <w:r>
              <w:rPr>
                <w:rFonts w:hint="eastAsia" w:ascii="宋体" w:hAnsi="宋体" w:cs="宋体"/>
                <w:sz w:val="24"/>
              </w:rPr>
              <w:t>10</w:t>
            </w:r>
          </w:p>
        </w:tc>
        <w:tc>
          <w:tcPr>
            <w:tcW w:w="2795"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100000以上</w:t>
            </w:r>
          </w:p>
        </w:tc>
        <w:tc>
          <w:tcPr>
            <w:tcW w:w="1444" w:type="pct"/>
            <w:tcMar>
              <w:left w:w="108" w:type="dxa"/>
              <w:right w:w="108" w:type="dxa"/>
            </w:tcMar>
          </w:tcPr>
          <w:p>
            <w:pPr>
              <w:adjustRightInd w:val="0"/>
              <w:snapToGrid w:val="0"/>
              <w:ind w:firstLine="480" w:firstLineChars="200"/>
              <w:jc w:val="center"/>
              <w:rPr>
                <w:rFonts w:ascii="宋体" w:hAnsi="宋体" w:cs="宋体"/>
                <w:sz w:val="24"/>
              </w:rPr>
            </w:pPr>
            <w:r>
              <w:rPr>
                <w:rFonts w:hint="eastAsia" w:ascii="宋体" w:hAnsi="宋体" w:cs="宋体"/>
                <w:sz w:val="24"/>
              </w:rPr>
              <w:t>0.01</w:t>
            </w:r>
          </w:p>
        </w:tc>
      </w:tr>
    </w:tbl>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说明：（1）上述收费标准实行差额定率累进计费；（2）计费基数：按评估价值计费。示例：某资产评估价1000万元，报价费率为80%，则评估费计算如下：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25万元×4‰=0.10万元；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（25-50）万元×1.5‰=0.0375万元；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（100-50）万元×1‰=0.05万元；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（1000-100）万元×0.5‰=0.45万元；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合计收费=（0.10+0.0375+0.05+0.45）=0.6375*80%=0.51万元(不足1000元的按1000计算）。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年租金评估收费按租售比1：20换算为房屋评估价值计算费率。示例：某房产评估年租金10万元，按照1：20的租售比换算为该房产评估价值200万元，评估费计算同上。</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标段二：</w:t>
      </w:r>
      <w:r>
        <w:rPr>
          <w:rFonts w:hint="eastAsia" w:ascii="宋体" w:hAnsi="宋体" w:cs="宋体"/>
          <w:sz w:val="24"/>
        </w:rPr>
        <w:t>项目为向买受方单向收费方式，采用费率报价，费率最高限价100%。高于最高限价的报价为无效报价。每宗最低收费标准为1000元，拍卖资产最高收费不超过100万元。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资产拍卖（租）单向收费计算标准：</w:t>
      </w:r>
    </w:p>
    <w:tbl>
      <w:tblPr>
        <w:tblStyle w:val="16"/>
        <w:tblpPr w:vertAnchor="text"/>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6"/>
        <w:gridCol w:w="2232"/>
        <w:gridCol w:w="1615"/>
        <w:gridCol w:w="2600"/>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756" w:type="dxa"/>
            <w:tcMar>
              <w:left w:w="108" w:type="dxa"/>
              <w:right w:w="108" w:type="dxa"/>
            </w:tcMar>
            <w:vAlign w:val="center"/>
          </w:tcPr>
          <w:p>
            <w:pPr>
              <w:adjustRightInd w:val="0"/>
              <w:snapToGrid w:val="0"/>
              <w:rPr>
                <w:rFonts w:ascii="宋体" w:hAnsi="宋体" w:cs="宋体"/>
                <w:sz w:val="24"/>
              </w:rPr>
            </w:pPr>
            <w:r>
              <w:rPr>
                <w:rFonts w:hint="eastAsia" w:ascii="宋体" w:hAnsi="宋体" w:cs="宋体"/>
                <w:sz w:val="24"/>
              </w:rPr>
              <w:t>档次</w:t>
            </w:r>
          </w:p>
        </w:tc>
        <w:tc>
          <w:tcPr>
            <w:tcW w:w="2232" w:type="dxa"/>
            <w:tcMar>
              <w:left w:w="108" w:type="dxa"/>
              <w:right w:w="108" w:type="dxa"/>
            </w:tcMar>
          </w:tcPr>
          <w:p>
            <w:pPr>
              <w:adjustRightInd w:val="0"/>
              <w:snapToGrid w:val="0"/>
              <w:rPr>
                <w:rFonts w:ascii="宋体" w:hAnsi="宋体" w:cs="宋体"/>
                <w:sz w:val="24"/>
              </w:rPr>
            </w:pPr>
            <w:r>
              <w:rPr>
                <w:rFonts w:hint="eastAsia" w:ascii="宋体" w:hAnsi="宋体" w:cs="宋体"/>
                <w:sz w:val="24"/>
              </w:rPr>
              <w:t>拍卖资产成交价格（万元）</w:t>
            </w:r>
          </w:p>
        </w:tc>
        <w:tc>
          <w:tcPr>
            <w:tcW w:w="1615" w:type="dxa"/>
            <w:tcMar>
              <w:left w:w="108" w:type="dxa"/>
              <w:right w:w="108" w:type="dxa"/>
            </w:tcMar>
          </w:tcPr>
          <w:p>
            <w:pPr>
              <w:adjustRightInd w:val="0"/>
              <w:snapToGrid w:val="0"/>
              <w:rPr>
                <w:rFonts w:ascii="宋体" w:hAnsi="宋体" w:cs="宋体"/>
                <w:sz w:val="24"/>
              </w:rPr>
            </w:pPr>
            <w:r>
              <w:rPr>
                <w:rFonts w:hint="eastAsia" w:ascii="宋体" w:hAnsi="宋体" w:cs="宋体"/>
                <w:sz w:val="24"/>
              </w:rPr>
              <w:t>累进计费率%</w:t>
            </w:r>
          </w:p>
        </w:tc>
        <w:tc>
          <w:tcPr>
            <w:tcW w:w="2600" w:type="dxa"/>
            <w:tcMar>
              <w:left w:w="108" w:type="dxa"/>
              <w:right w:w="108" w:type="dxa"/>
            </w:tcMar>
            <w:vAlign w:val="center"/>
          </w:tcPr>
          <w:p>
            <w:pPr>
              <w:adjustRightInd w:val="0"/>
              <w:snapToGrid w:val="0"/>
              <w:rPr>
                <w:rFonts w:ascii="宋体" w:hAnsi="宋体" w:cs="宋体"/>
                <w:sz w:val="24"/>
              </w:rPr>
            </w:pPr>
            <w:r>
              <w:rPr>
                <w:rFonts w:hint="eastAsia" w:ascii="宋体" w:hAnsi="宋体" w:cs="宋体"/>
                <w:sz w:val="24"/>
              </w:rPr>
              <w:t>拍租资产成交年租金</w:t>
            </w:r>
          </w:p>
          <w:p>
            <w:pPr>
              <w:adjustRightInd w:val="0"/>
              <w:snapToGrid w:val="0"/>
              <w:ind w:firstLine="480" w:firstLineChars="200"/>
              <w:rPr>
                <w:rFonts w:ascii="宋体" w:hAnsi="宋体" w:cs="宋体"/>
                <w:sz w:val="24"/>
              </w:rPr>
            </w:pPr>
            <w:r>
              <w:rPr>
                <w:rFonts w:hint="eastAsia" w:ascii="宋体" w:hAnsi="宋体" w:cs="宋体"/>
                <w:sz w:val="24"/>
              </w:rPr>
              <w:t>（万元）</w:t>
            </w:r>
          </w:p>
        </w:tc>
        <w:tc>
          <w:tcPr>
            <w:tcW w:w="1857" w:type="dxa"/>
            <w:tcMar>
              <w:left w:w="108" w:type="dxa"/>
              <w:right w:w="108" w:type="dxa"/>
            </w:tcMar>
            <w:vAlign w:val="center"/>
          </w:tcPr>
          <w:p>
            <w:pPr>
              <w:adjustRightInd w:val="0"/>
              <w:snapToGrid w:val="0"/>
              <w:rPr>
                <w:rFonts w:ascii="宋体" w:hAnsi="宋体" w:cs="宋体"/>
                <w:sz w:val="24"/>
              </w:rPr>
            </w:pPr>
            <w:r>
              <w:rPr>
                <w:rFonts w:hint="eastAsia" w:ascii="宋体" w:hAnsi="宋体" w:cs="宋体"/>
                <w:sz w:val="24"/>
              </w:rPr>
              <w:t>累进计费率%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756" w:type="dxa"/>
            <w:tcMar>
              <w:left w:w="108" w:type="dxa"/>
              <w:right w:w="108" w:type="dxa"/>
            </w:tcMar>
          </w:tcPr>
          <w:p>
            <w:pPr>
              <w:jc w:val="center"/>
              <w:rPr>
                <w:rFonts w:ascii="宋体" w:hAnsi="宋体" w:cs="宋体"/>
              </w:rPr>
            </w:pPr>
            <w:r>
              <w:rPr>
                <w:rFonts w:hint="eastAsia" w:ascii="宋体" w:hAnsi="宋体" w:cs="宋体"/>
              </w:rPr>
              <w:t>1</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100以下</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3</w:t>
            </w:r>
          </w:p>
        </w:tc>
        <w:tc>
          <w:tcPr>
            <w:tcW w:w="2600" w:type="dxa"/>
            <w:tcMar>
              <w:left w:w="108" w:type="dxa"/>
              <w:right w:w="108" w:type="dxa"/>
            </w:tcMar>
          </w:tcPr>
          <w:p>
            <w:pPr>
              <w:jc w:val="center"/>
              <w:rPr>
                <w:rFonts w:ascii="宋体" w:hAnsi="宋体" w:cs="宋体"/>
              </w:rPr>
            </w:pPr>
            <w:r>
              <w:rPr>
                <w:rFonts w:ascii="宋体" w:hAnsi="宋体" w:cs="宋体"/>
              </w:rPr>
              <w:t>10以下</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trPr>
        <w:tc>
          <w:tcPr>
            <w:tcW w:w="756" w:type="dxa"/>
            <w:tcMar>
              <w:left w:w="108" w:type="dxa"/>
              <w:right w:w="108" w:type="dxa"/>
            </w:tcMar>
          </w:tcPr>
          <w:p>
            <w:pPr>
              <w:jc w:val="center"/>
              <w:rPr>
                <w:rFonts w:ascii="宋体" w:hAnsi="宋体" w:cs="宋体"/>
              </w:rPr>
            </w:pPr>
            <w:r>
              <w:rPr>
                <w:rFonts w:hint="eastAsia" w:ascii="宋体" w:hAnsi="宋体" w:cs="宋体"/>
              </w:rPr>
              <w:t>2</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100-200</w:t>
            </w:r>
          </w:p>
          <w:p>
            <w:pPr>
              <w:adjustRightInd w:val="0"/>
              <w:snapToGrid w:val="0"/>
              <w:rPr>
                <w:rFonts w:ascii="宋体" w:hAnsi="宋体" w:cs="宋体"/>
                <w:sz w:val="24"/>
              </w:rPr>
            </w:pPr>
            <w:r>
              <w:rPr>
                <w:rFonts w:hint="eastAsia" w:ascii="宋体" w:hAnsi="宋体" w:cs="宋体"/>
                <w:sz w:val="24"/>
              </w:rPr>
              <w:t>（含100，下同）</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2</w:t>
            </w:r>
          </w:p>
        </w:tc>
        <w:tc>
          <w:tcPr>
            <w:tcW w:w="2600" w:type="dxa"/>
            <w:tcMar>
              <w:left w:w="108" w:type="dxa"/>
              <w:right w:w="108" w:type="dxa"/>
            </w:tcMar>
          </w:tcPr>
          <w:p>
            <w:pPr>
              <w:jc w:val="center"/>
              <w:rPr>
                <w:rFonts w:ascii="宋体" w:hAnsi="宋体" w:cs="宋体"/>
              </w:rPr>
            </w:pPr>
            <w:r>
              <w:rPr>
                <w:rFonts w:ascii="宋体" w:hAnsi="宋体" w:cs="宋体"/>
              </w:rPr>
              <w:t>10-15（含10，下同）</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trPr>
        <w:tc>
          <w:tcPr>
            <w:tcW w:w="756" w:type="dxa"/>
            <w:tcMar>
              <w:left w:w="108" w:type="dxa"/>
              <w:right w:w="108" w:type="dxa"/>
            </w:tcMar>
          </w:tcPr>
          <w:p>
            <w:pPr>
              <w:jc w:val="center"/>
              <w:rPr>
                <w:rFonts w:ascii="宋体" w:hAnsi="宋体" w:cs="宋体"/>
              </w:rPr>
            </w:pPr>
            <w:r>
              <w:rPr>
                <w:rFonts w:hint="eastAsia" w:ascii="宋体" w:hAnsi="宋体" w:cs="宋体"/>
              </w:rPr>
              <w:t>3</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200-500</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1.5</w:t>
            </w:r>
          </w:p>
        </w:tc>
        <w:tc>
          <w:tcPr>
            <w:tcW w:w="2600" w:type="dxa"/>
            <w:tcMar>
              <w:left w:w="108" w:type="dxa"/>
              <w:right w:w="108" w:type="dxa"/>
            </w:tcMar>
          </w:tcPr>
          <w:p>
            <w:pPr>
              <w:jc w:val="center"/>
              <w:rPr>
                <w:rFonts w:ascii="宋体" w:hAnsi="宋体" w:cs="宋体"/>
              </w:rPr>
            </w:pPr>
            <w:r>
              <w:rPr>
                <w:rFonts w:ascii="宋体" w:hAnsi="宋体" w:cs="宋体"/>
              </w:rPr>
              <w:t>15-20</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756" w:type="dxa"/>
            <w:tcMar>
              <w:left w:w="108" w:type="dxa"/>
              <w:right w:w="108" w:type="dxa"/>
            </w:tcMar>
          </w:tcPr>
          <w:p>
            <w:pPr>
              <w:jc w:val="center"/>
              <w:rPr>
                <w:rFonts w:ascii="宋体" w:hAnsi="宋体" w:cs="宋体"/>
              </w:rPr>
            </w:pPr>
            <w:r>
              <w:rPr>
                <w:rFonts w:hint="eastAsia" w:ascii="宋体" w:hAnsi="宋体" w:cs="宋体"/>
              </w:rPr>
              <w:t>4</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500-1000</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1</w:t>
            </w:r>
          </w:p>
        </w:tc>
        <w:tc>
          <w:tcPr>
            <w:tcW w:w="2600" w:type="dxa"/>
            <w:tcMar>
              <w:left w:w="108" w:type="dxa"/>
              <w:right w:w="108" w:type="dxa"/>
            </w:tcMar>
          </w:tcPr>
          <w:p>
            <w:pPr>
              <w:jc w:val="center"/>
              <w:rPr>
                <w:rFonts w:ascii="宋体" w:hAnsi="宋体" w:cs="宋体"/>
              </w:rPr>
            </w:pPr>
            <w:r>
              <w:rPr>
                <w:rFonts w:ascii="宋体" w:hAnsi="宋体" w:cs="宋体"/>
              </w:rPr>
              <w:t>20-50</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756" w:type="dxa"/>
            <w:tcMar>
              <w:left w:w="108" w:type="dxa"/>
              <w:right w:w="108" w:type="dxa"/>
            </w:tcMar>
          </w:tcPr>
          <w:p>
            <w:pPr>
              <w:jc w:val="center"/>
              <w:rPr>
                <w:rFonts w:ascii="宋体" w:hAnsi="宋体" w:cs="宋体"/>
              </w:rPr>
            </w:pPr>
            <w:r>
              <w:rPr>
                <w:rFonts w:hint="eastAsia" w:ascii="宋体" w:hAnsi="宋体" w:cs="宋体"/>
              </w:rPr>
              <w:t>5</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1000-5000</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0.7</w:t>
            </w:r>
          </w:p>
        </w:tc>
        <w:tc>
          <w:tcPr>
            <w:tcW w:w="2600" w:type="dxa"/>
            <w:tcMar>
              <w:left w:w="108" w:type="dxa"/>
              <w:right w:w="108" w:type="dxa"/>
            </w:tcMar>
          </w:tcPr>
          <w:p>
            <w:pPr>
              <w:jc w:val="center"/>
              <w:rPr>
                <w:rFonts w:ascii="宋体" w:hAnsi="宋体" w:cs="宋体"/>
              </w:rPr>
            </w:pPr>
            <w:r>
              <w:rPr>
                <w:rFonts w:ascii="宋体" w:hAnsi="宋体" w:cs="宋体"/>
              </w:rPr>
              <w:t>50-100</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756" w:type="dxa"/>
            <w:tcMar>
              <w:left w:w="108" w:type="dxa"/>
              <w:right w:w="108" w:type="dxa"/>
            </w:tcMar>
          </w:tcPr>
          <w:p>
            <w:pPr>
              <w:jc w:val="center"/>
              <w:rPr>
                <w:rFonts w:ascii="宋体" w:hAnsi="宋体" w:cs="宋体"/>
              </w:rPr>
            </w:pPr>
            <w:r>
              <w:rPr>
                <w:rFonts w:hint="eastAsia" w:ascii="宋体" w:hAnsi="宋体" w:cs="宋体"/>
              </w:rPr>
              <w:t>6</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5000-10000</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0.5</w:t>
            </w:r>
          </w:p>
        </w:tc>
        <w:tc>
          <w:tcPr>
            <w:tcW w:w="2600" w:type="dxa"/>
            <w:tcMar>
              <w:left w:w="108" w:type="dxa"/>
              <w:right w:w="108" w:type="dxa"/>
            </w:tcMar>
          </w:tcPr>
          <w:p>
            <w:pPr>
              <w:jc w:val="center"/>
              <w:rPr>
                <w:rFonts w:ascii="宋体" w:hAnsi="宋体" w:cs="宋体"/>
              </w:rPr>
            </w:pPr>
            <w:r>
              <w:rPr>
                <w:rFonts w:ascii="宋体" w:hAnsi="宋体" w:cs="宋体"/>
              </w:rPr>
              <w:t>100-200</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756" w:type="dxa"/>
            <w:tcMar>
              <w:left w:w="108" w:type="dxa"/>
              <w:right w:w="108" w:type="dxa"/>
            </w:tcMar>
          </w:tcPr>
          <w:p>
            <w:pPr>
              <w:jc w:val="center"/>
              <w:rPr>
                <w:rFonts w:ascii="宋体" w:hAnsi="宋体" w:cs="宋体"/>
              </w:rPr>
            </w:pPr>
            <w:r>
              <w:rPr>
                <w:rFonts w:hint="eastAsia" w:ascii="宋体" w:hAnsi="宋体" w:cs="宋体"/>
              </w:rPr>
              <w:t>7</w:t>
            </w:r>
          </w:p>
        </w:tc>
        <w:tc>
          <w:tcPr>
            <w:tcW w:w="2232" w:type="dxa"/>
            <w:tcMar>
              <w:left w:w="108" w:type="dxa"/>
              <w:right w:w="108" w:type="dxa"/>
            </w:tcMar>
          </w:tcPr>
          <w:p>
            <w:pPr>
              <w:adjustRightInd w:val="0"/>
              <w:snapToGrid w:val="0"/>
              <w:ind w:firstLine="480" w:firstLineChars="200"/>
              <w:rPr>
                <w:rFonts w:ascii="宋体" w:hAnsi="宋体" w:cs="宋体"/>
                <w:sz w:val="24"/>
              </w:rPr>
            </w:pPr>
            <w:r>
              <w:rPr>
                <w:rFonts w:hint="eastAsia" w:ascii="宋体" w:hAnsi="宋体" w:cs="宋体"/>
                <w:sz w:val="24"/>
              </w:rPr>
              <w:t>10000以上</w:t>
            </w:r>
          </w:p>
        </w:tc>
        <w:tc>
          <w:tcPr>
            <w:tcW w:w="1615" w:type="dxa"/>
            <w:tcMar>
              <w:left w:w="108" w:type="dxa"/>
              <w:right w:w="108" w:type="dxa"/>
            </w:tcMar>
            <w:vAlign w:val="center"/>
          </w:tcPr>
          <w:p>
            <w:pPr>
              <w:jc w:val="center"/>
              <w:rPr>
                <w:rFonts w:ascii="宋体" w:hAnsi="宋体" w:cs="宋体"/>
              </w:rPr>
            </w:pPr>
            <w:r>
              <w:rPr>
                <w:rFonts w:hint="eastAsia" w:ascii="宋体" w:hAnsi="宋体" w:cs="宋体"/>
              </w:rPr>
              <w:t>0.3</w:t>
            </w:r>
          </w:p>
        </w:tc>
        <w:tc>
          <w:tcPr>
            <w:tcW w:w="2600" w:type="dxa"/>
            <w:tcMar>
              <w:left w:w="108" w:type="dxa"/>
              <w:right w:w="108" w:type="dxa"/>
            </w:tcMar>
          </w:tcPr>
          <w:p>
            <w:pPr>
              <w:jc w:val="center"/>
              <w:rPr>
                <w:rFonts w:ascii="宋体" w:hAnsi="宋体" w:cs="宋体"/>
              </w:rPr>
            </w:pPr>
            <w:r>
              <w:rPr>
                <w:rFonts w:ascii="宋体" w:hAnsi="宋体" w:cs="宋体"/>
              </w:rPr>
              <w:t>200以上</w:t>
            </w:r>
          </w:p>
        </w:tc>
        <w:tc>
          <w:tcPr>
            <w:tcW w:w="1857" w:type="dxa"/>
            <w:tcMar>
              <w:left w:w="108" w:type="dxa"/>
              <w:right w:w="108" w:type="dxa"/>
            </w:tcMar>
            <w:vAlign w:val="center"/>
          </w:tcPr>
          <w:p>
            <w:pPr>
              <w:adjustRightInd w:val="0"/>
              <w:snapToGrid w:val="0"/>
              <w:jc w:val="center"/>
              <w:rPr>
                <w:rFonts w:ascii="宋体" w:hAnsi="宋体" w:cs="宋体"/>
                <w:sz w:val="24"/>
              </w:rPr>
            </w:pPr>
            <w:r>
              <w:rPr>
                <w:rFonts w:hint="eastAsia" w:ascii="宋体" w:hAnsi="宋体" w:cs="宋体"/>
                <w:sz w:val="24"/>
              </w:rPr>
              <w:t>0.3</w:t>
            </w:r>
          </w:p>
        </w:tc>
      </w:tr>
    </w:tbl>
    <w:p>
      <w:pPr>
        <w:adjustRightInd w:val="0"/>
        <w:snapToGrid w:val="0"/>
        <w:spacing w:line="360" w:lineRule="auto"/>
        <w:ind w:firstLine="480" w:firstLineChars="200"/>
        <w:rPr>
          <w:rFonts w:ascii="宋体" w:hAnsi="宋体" w:cs="宋体"/>
          <w:sz w:val="24"/>
        </w:rPr>
      </w:pPr>
      <w:r>
        <w:rPr>
          <w:rFonts w:hint="eastAsia" w:ascii="宋体" w:hAnsi="宋体" w:cs="宋体"/>
          <w:sz w:val="24"/>
        </w:rPr>
        <w:t>说明：</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（1）上述收费标准实行差额定率累进法计费；（2）计费基数:单项资产拍卖（租）按资产成交价格或成交年租金计算。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（3）示例：某资产年租金成交价67万元，报价费率80%，则拍租费计算如下：</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10万元×4%=0.4万元；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（15-10）万元×3%=0.15万元；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（20-15）万元×1%=0.05万元；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（50-20）万元×0.8%=0.24万元；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（67-50）万元×0.7%=0.119万元；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合计最高收费=（0.4+0.15+0.05+0.24+0.119）*80%=0.959*80%=0.7672万元。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拍卖资产最高收费计算算法同上。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5、采购需求：详见征集文件，请仔细研究。</w:t>
      </w:r>
    </w:p>
    <w:p>
      <w:pPr>
        <w:adjustRightInd w:val="0"/>
        <w:snapToGrid w:val="0"/>
        <w:spacing w:line="360" w:lineRule="auto"/>
        <w:ind w:firstLine="480" w:firstLineChars="200"/>
        <w:rPr>
          <w:rFonts w:ascii="宋体" w:hAnsi="宋体" w:cs="宋体"/>
          <w:sz w:val="24"/>
          <w:highlight w:val="yellow"/>
        </w:rPr>
      </w:pPr>
      <w:r>
        <w:rPr>
          <w:rFonts w:hint="eastAsia" w:ascii="宋体" w:hAnsi="宋体" w:cs="宋体"/>
          <w:sz w:val="24"/>
        </w:rPr>
        <w:t>6、框架协议有效期：两年。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7、入围供应商数量：每标段</w:t>
      </w:r>
      <w:r>
        <w:rPr>
          <w:rFonts w:hint="eastAsia" w:ascii="宋体" w:hAnsi="宋体" w:cs="宋体"/>
          <w:sz w:val="24"/>
          <w:lang w:eastAsia="zh-Hans"/>
        </w:rPr>
        <w:t>实质性响应</w:t>
      </w:r>
      <w:r>
        <w:rPr>
          <w:rFonts w:hint="eastAsia" w:ascii="宋体" w:hAnsi="宋体" w:cs="宋体"/>
          <w:sz w:val="24"/>
        </w:rPr>
        <w:t>的投标单位13家及以上的，入围10家；每标段</w:t>
      </w:r>
      <w:r>
        <w:rPr>
          <w:rFonts w:hint="eastAsia" w:ascii="宋体" w:hAnsi="宋体" w:cs="宋体"/>
          <w:sz w:val="24"/>
          <w:lang w:eastAsia="zh-Hans"/>
        </w:rPr>
        <w:t>实质性响应</w:t>
      </w:r>
      <w:r>
        <w:rPr>
          <w:rFonts w:hint="eastAsia" w:ascii="宋体" w:hAnsi="宋体" w:cs="宋体"/>
          <w:sz w:val="24"/>
        </w:rPr>
        <w:t>的投标单位13家以下的，入围80%（四舍五入）。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8、框架协议形式：封闭式框架协议。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9、本项目不接受联合体参与征集。</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二、申请人的资格要求：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2.本项目的特定资格要求：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标段一：投标供应商需具备行政主管部门颁发的备案证书。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标段二：投标供应商需连续两年在省级商务部门公布的拍卖企业经营资格核查合格企业名单内。</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三、获取征集文件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时间：自征集公告发布之日起5个工作日。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方式：在南通市财政局官网自行免费下载征集文件。</w:t>
      </w:r>
    </w:p>
    <w:p>
      <w:pPr>
        <w:numPr>
          <w:ilvl w:val="0"/>
          <w:numId w:val="1"/>
        </w:numPr>
        <w:adjustRightInd w:val="0"/>
        <w:snapToGrid w:val="0"/>
        <w:spacing w:line="360" w:lineRule="auto"/>
        <w:ind w:firstLine="482" w:firstLineChars="200"/>
        <w:rPr>
          <w:rFonts w:ascii="宋体" w:hAnsi="宋体" w:cs="宋体"/>
          <w:b/>
          <w:sz w:val="24"/>
        </w:rPr>
      </w:pPr>
      <w:r>
        <w:rPr>
          <w:rFonts w:hint="eastAsia" w:ascii="宋体" w:hAnsi="宋体" w:cs="宋体"/>
          <w:b/>
          <w:sz w:val="24"/>
        </w:rPr>
        <w:t>响应文件的提交方式、提交截止时间和地点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4.1接收人：采购代理机构。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4.2投标文件以邮寄形式递交，接收截止时间：2023年1月 7日08时00分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特别提醒：因新冠疫情原因及南通市财政局疫情防控要求，本项目递交投标文件方式为邮寄方式，各潜在供应商须在规定时间内将投标响应文件（原件无需提交）邮寄至规定地点，请各潜在供应商充分考虑天气、快递速度、路程等因素，合理安排邮寄时间，确保2023年1月7日8 时前寄到江苏西亚项目管理咨询有限公司，不接受到付。未在规定时间内送达的投标响应文件将不予接收，后果由各潜在供应商自行承担。（地址：南通市北大街万科金域广场T3幢19楼01室，联系人：徐工，联系方式：18962990275）。</w:t>
      </w:r>
    </w:p>
    <w:p>
      <w:pPr>
        <w:adjustRightInd w:val="0"/>
        <w:snapToGrid w:val="0"/>
        <w:spacing w:line="360" w:lineRule="auto"/>
        <w:ind w:firstLine="480" w:firstLineChars="200"/>
        <w:rPr>
          <w:rFonts w:ascii="宋体" w:hAnsi="宋体" w:cs="宋体"/>
          <w:b/>
          <w:bCs/>
          <w:sz w:val="24"/>
        </w:rPr>
      </w:pPr>
      <w:r>
        <w:rPr>
          <w:rFonts w:hint="eastAsia" w:ascii="宋体" w:hAnsi="宋体" w:cs="宋体"/>
          <w:sz w:val="24"/>
        </w:rPr>
        <w:t>4.3本项目采用远程开标，为确保本项目远程开标时交互顺利，在开标前60分钟左右公布远程交互群，将以此群作为开评标过程中远程交互工具进行实时交互。各供应商的授权委托人在开标前以“单位全称+授权委托人姓名”的格式申请加入此群，并在入群后修改自己在群里的备注名称为“单位全称+授权委托人姓名”，在开评标全过程中，远程交互群是默认的远程交互工具，若供应商未加入交互群，则视为放弃交互和放弃对开评标全过程提疑的权利。供应商将无法看到废标及澄清、 评审结果等实时情况，并承担由此导致的一切后果。</w:t>
      </w:r>
      <w:r>
        <w:rPr>
          <w:rFonts w:hint="eastAsia" w:ascii="宋体" w:hAnsi="宋体" w:cs="宋体"/>
          <w:b/>
          <w:bCs/>
          <w:sz w:val="24"/>
          <w:u w:val="single"/>
        </w:rPr>
        <w:t>（请在响应文件密封袋上标明授权人的联系方式及电子邮箱号码。如未按要求标明联系方式，后果自负。）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4.4请投标单位的法定代表人或授权代理人（以贵公司投标文件上的信息为准）提前安装好腾讯会议APP。</w:t>
      </w:r>
    </w:p>
    <w:p>
      <w:pPr>
        <w:pStyle w:val="2"/>
        <w:spacing w:line="360" w:lineRule="auto"/>
        <w:ind w:firstLine="562"/>
        <w:rPr>
          <w:rFonts w:ascii="宋体" w:hAnsi="宋体" w:cs="宋体"/>
          <w:b/>
          <w:sz w:val="24"/>
        </w:rPr>
      </w:pPr>
      <w:r>
        <w:rPr>
          <w:rFonts w:hint="eastAsia" w:ascii="宋体" w:hAnsi="宋体" w:cs="宋体"/>
          <w:b/>
          <w:sz w:val="24"/>
        </w:rPr>
        <w:t>五、响应文件开启方式、时间和地点: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开启时间： 2023 年 1 月 7 日 10 点 00 分 (北京时间)；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开启地点：南通市财政局14楼会议室；</w:t>
      </w:r>
    </w:p>
    <w:p>
      <w:pPr>
        <w:pStyle w:val="2"/>
        <w:spacing w:line="360" w:lineRule="auto"/>
        <w:ind w:firstLine="562"/>
        <w:rPr>
          <w:rFonts w:ascii="宋体" w:hAnsi="宋体" w:cs="宋体"/>
          <w:sz w:val="24"/>
          <w:szCs w:val="22"/>
        </w:rPr>
      </w:pPr>
      <w:r>
        <w:rPr>
          <w:rFonts w:hint="eastAsia" w:ascii="宋体" w:hAnsi="宋体" w:cs="宋体"/>
          <w:sz w:val="24"/>
        </w:rPr>
        <w:t>本项目是不见面远程开启模式，供应商在各自地点通过腾讯会议参加开启会。</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六、公告期限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七、其他补充事宜</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1、响应保证金：免收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2、项目开启活动模式：不见面远程开启模式，供应商在各自地点通过腾讯会议参加开启会。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3、项目演示、样品、答辩等（如有请描述）：无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4、对项目需求部分（供应商资格要求、项目需求、商务技术评分标准）的询问、质疑请向采购人提出，由采购人负责答复；对项目征集文件其它部分的询问请向征集文件制作人或项目开启评审经办人提出。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供应商应依照规定提交各类声明函、承诺函，不再同时提供原件备查或提供有关部门出具的相关证明文件。但入围供应商应做好提交声明函、承诺函相应原件的核查准备；核查后发现虚假或违背承诺的，依照相关法律法规规定处理。</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七、对本次征集提出询问，请按以下方式联系。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1.采购人信息</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名 称：南通市财政局</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地 址：江苏省南通市报业大厦13楼</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联系人：李主任  联系方式：0513-85594212</w:t>
      </w:r>
    </w:p>
    <w:p>
      <w:pPr>
        <w:widowControl/>
        <w:shd w:val="clear" w:color="auto" w:fill="FFFFFF"/>
        <w:adjustRightInd w:val="0"/>
        <w:snapToGrid w:val="0"/>
        <w:spacing w:line="360" w:lineRule="auto"/>
        <w:ind w:firstLine="600" w:firstLineChars="250"/>
        <w:jc w:val="left"/>
        <w:rPr>
          <w:rFonts w:ascii="宋体" w:hAnsi="宋体" w:cs="宋体"/>
          <w:sz w:val="24"/>
        </w:rPr>
      </w:pPr>
      <w:r>
        <w:rPr>
          <w:rFonts w:hint="eastAsia" w:ascii="宋体" w:hAnsi="宋体" w:cs="宋体"/>
          <w:sz w:val="24"/>
        </w:rPr>
        <w:t>2.代理机构信息</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名称：江苏西亚项目管理咨询有限公司</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地址： 南通市崇川区万科金域广场1901室</w:t>
      </w:r>
    </w:p>
    <w:p>
      <w:pPr>
        <w:adjustRightInd w:val="0"/>
        <w:snapToGrid w:val="0"/>
        <w:spacing w:line="360" w:lineRule="auto"/>
        <w:ind w:firstLine="960" w:firstLineChars="400"/>
        <w:rPr>
          <w:rFonts w:ascii="宋体" w:hAnsi="宋体" w:cs="宋体"/>
          <w:sz w:val="24"/>
        </w:rPr>
      </w:pPr>
      <w:r>
        <w:rPr>
          <w:rFonts w:hint="eastAsia" w:ascii="宋体" w:hAnsi="宋体" w:cs="宋体"/>
          <w:sz w:val="24"/>
        </w:rPr>
        <w:t>联系人：徐工  联系方式： 18962990275</w:t>
      </w:r>
    </w:p>
    <w:p>
      <w:pPr>
        <w:adjustRightInd w:val="0"/>
        <w:snapToGrid w:val="0"/>
        <w:spacing w:line="360" w:lineRule="auto"/>
        <w:rPr>
          <w:rFonts w:ascii="宋体" w:hAnsi="宋体" w:cs="宋体"/>
        </w:rPr>
      </w:pPr>
      <w:r>
        <w:rPr>
          <w:rFonts w:hint="eastAsia" w:ascii="宋体" w:hAnsi="宋体" w:cs="宋体"/>
          <w:b/>
          <w:sz w:val="24"/>
        </w:rPr>
        <w:t xml:space="preserve">     </w:t>
      </w:r>
    </w:p>
    <w:bookmarkEnd w:id="2"/>
    <w:bookmarkEnd w:id="3"/>
    <w:bookmarkEnd w:id="4"/>
    <w:bookmarkEnd w:id="5"/>
    <w:p>
      <w:pPr>
        <w:jc w:val="left"/>
        <w:rPr>
          <w:rFonts w:ascii="宋体" w:hAnsi="宋体" w:cs="宋体"/>
          <w:bCs/>
          <w:sz w:val="36"/>
          <w:szCs w:val="36"/>
        </w:rPr>
      </w:pPr>
      <w:r>
        <w:rPr>
          <w:rFonts w:hint="eastAsia" w:ascii="宋体" w:hAnsi="宋体" w:cs="宋体"/>
          <w:bCs/>
          <w:sz w:val="36"/>
          <w:szCs w:val="36"/>
        </w:rPr>
        <w:br w:type="page"/>
      </w:r>
    </w:p>
    <w:p>
      <w:pPr>
        <w:adjustRightInd w:val="0"/>
        <w:snapToGrid w:val="0"/>
        <w:spacing w:line="500" w:lineRule="exact"/>
        <w:jc w:val="center"/>
        <w:outlineLvl w:val="0"/>
        <w:rPr>
          <w:rFonts w:ascii="宋体" w:hAnsi="宋体" w:cs="宋体"/>
          <w:bCs/>
          <w:sz w:val="36"/>
          <w:szCs w:val="36"/>
        </w:rPr>
      </w:pPr>
      <w:r>
        <w:rPr>
          <w:rFonts w:hint="eastAsia" w:ascii="宋体" w:hAnsi="宋体" w:cs="宋体"/>
          <w:bCs/>
          <w:sz w:val="36"/>
          <w:szCs w:val="36"/>
        </w:rPr>
        <w:t>第二部分  响应须知</w:t>
      </w:r>
    </w:p>
    <w:p>
      <w:pPr>
        <w:pStyle w:val="4"/>
        <w:adjustRightInd w:val="0"/>
        <w:snapToGrid w:val="0"/>
        <w:spacing w:before="0" w:after="0" w:line="500" w:lineRule="exact"/>
        <w:rPr>
          <w:rFonts w:ascii="宋体" w:hAnsi="宋体" w:cs="宋体"/>
          <w:sz w:val="24"/>
          <w:szCs w:val="24"/>
        </w:rPr>
      </w:pPr>
      <w:bookmarkStart w:id="7" w:name="_Toc120614214"/>
      <w:bookmarkStart w:id="8" w:name="_Toc20823275"/>
      <w:bookmarkStart w:id="9" w:name="_Toc16938519"/>
      <w:bookmarkStart w:id="10" w:name="_Toc513029203"/>
      <w:r>
        <w:rPr>
          <w:rFonts w:hint="eastAsia" w:ascii="宋体" w:hAnsi="宋体" w:cs="宋体"/>
          <w:sz w:val="24"/>
          <w:szCs w:val="24"/>
        </w:rPr>
        <w:t>（一）总则</w:t>
      </w:r>
      <w:bookmarkEnd w:id="7"/>
      <w:bookmarkEnd w:id="8"/>
      <w:bookmarkEnd w:id="9"/>
      <w:bookmarkEnd w:id="10"/>
    </w:p>
    <w:p>
      <w:pPr>
        <w:pStyle w:val="5"/>
        <w:adjustRightInd w:val="0"/>
        <w:snapToGrid w:val="0"/>
        <w:spacing w:line="500" w:lineRule="exact"/>
        <w:jc w:val="both"/>
        <w:rPr>
          <w:rFonts w:ascii="宋体" w:hAnsi="宋体" w:eastAsia="宋体" w:cs="宋体"/>
          <w:kern w:val="2"/>
          <w:sz w:val="24"/>
          <w:szCs w:val="24"/>
        </w:rPr>
      </w:pPr>
      <w:bookmarkStart w:id="11" w:name="_Hlt16619475"/>
      <w:bookmarkEnd w:id="11"/>
      <w:bookmarkStart w:id="12" w:name="_Toc458694821"/>
      <w:bookmarkStart w:id="13" w:name="_Toc16938520"/>
      <w:bookmarkStart w:id="14" w:name="_Toc20823276"/>
      <w:bookmarkStart w:id="15" w:name="_Toc513029204"/>
      <w:r>
        <w:rPr>
          <w:rFonts w:hint="eastAsia" w:ascii="宋体" w:hAnsi="宋体" w:eastAsia="宋体" w:cs="宋体"/>
          <w:kern w:val="2"/>
          <w:sz w:val="24"/>
          <w:szCs w:val="24"/>
        </w:rPr>
        <w:t>1</w:t>
      </w:r>
      <w:bookmarkEnd w:id="12"/>
      <w:r>
        <w:rPr>
          <w:rFonts w:hint="eastAsia" w:ascii="宋体" w:hAnsi="宋体" w:eastAsia="宋体" w:cs="宋体"/>
          <w:kern w:val="2"/>
          <w:sz w:val="24"/>
          <w:szCs w:val="24"/>
        </w:rPr>
        <w:t>.征集方式</w:t>
      </w:r>
      <w:bookmarkEnd w:id="13"/>
      <w:bookmarkEnd w:id="14"/>
      <w:bookmarkEnd w:id="15"/>
    </w:p>
    <w:p>
      <w:pPr>
        <w:adjustRightInd w:val="0"/>
        <w:snapToGrid w:val="0"/>
        <w:spacing w:line="500" w:lineRule="exact"/>
        <w:ind w:firstLine="480" w:firstLineChars="200"/>
        <w:rPr>
          <w:rFonts w:ascii="宋体" w:hAnsi="宋体" w:cs="宋体"/>
          <w:sz w:val="24"/>
        </w:rPr>
      </w:pPr>
      <w:r>
        <w:rPr>
          <w:rFonts w:hint="eastAsia" w:ascii="宋体" w:hAnsi="宋体" w:cs="宋体"/>
          <w:sz w:val="24"/>
        </w:rPr>
        <w:t>1.1 本次征集采取公开征集方式，本征集文件仅适用于征集公告中所述项目。</w:t>
      </w:r>
    </w:p>
    <w:p>
      <w:pPr>
        <w:pStyle w:val="5"/>
        <w:adjustRightInd w:val="0"/>
        <w:snapToGrid w:val="0"/>
        <w:spacing w:line="500" w:lineRule="exact"/>
        <w:jc w:val="both"/>
        <w:rPr>
          <w:rFonts w:ascii="宋体" w:hAnsi="宋体" w:eastAsia="宋体" w:cs="宋体"/>
          <w:b/>
          <w:bCs/>
          <w:sz w:val="24"/>
          <w:szCs w:val="24"/>
        </w:rPr>
      </w:pPr>
      <w:bookmarkStart w:id="16" w:name="_Toc513029205"/>
      <w:bookmarkStart w:id="17" w:name="_Toc16938521"/>
      <w:bookmarkStart w:id="18" w:name="_Toc20823277"/>
      <w:r>
        <w:rPr>
          <w:rFonts w:hint="eastAsia" w:ascii="宋体" w:hAnsi="宋体" w:eastAsia="宋体" w:cs="宋体"/>
          <w:sz w:val="24"/>
          <w:szCs w:val="24"/>
        </w:rPr>
        <w:t>2.合格的</w:t>
      </w:r>
      <w:bookmarkEnd w:id="16"/>
      <w:bookmarkEnd w:id="17"/>
      <w:bookmarkEnd w:id="18"/>
      <w:r>
        <w:rPr>
          <w:rFonts w:hint="eastAsia" w:ascii="宋体" w:hAnsi="宋体" w:eastAsia="宋体" w:cs="宋体"/>
          <w:sz w:val="24"/>
          <w:szCs w:val="24"/>
        </w:rPr>
        <w:t>供应商</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2.1满足征集公告中供应商的资格要求的规定。</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2.2 满足本文件实质性条款的规定。</w:t>
      </w:r>
    </w:p>
    <w:p>
      <w:pPr>
        <w:pStyle w:val="5"/>
        <w:adjustRightInd w:val="0"/>
        <w:snapToGrid w:val="0"/>
        <w:spacing w:line="500" w:lineRule="exact"/>
        <w:jc w:val="both"/>
        <w:rPr>
          <w:rFonts w:ascii="宋体" w:hAnsi="宋体" w:eastAsia="宋体" w:cs="宋体"/>
          <w:b/>
          <w:bCs/>
          <w:sz w:val="24"/>
          <w:szCs w:val="24"/>
        </w:rPr>
      </w:pPr>
      <w:bookmarkStart w:id="19" w:name="_Toc20823278"/>
      <w:bookmarkStart w:id="20" w:name="_Toc513029206"/>
      <w:bookmarkStart w:id="21" w:name="_Toc16938522"/>
      <w:r>
        <w:rPr>
          <w:rFonts w:hint="eastAsia" w:ascii="宋体" w:hAnsi="宋体" w:eastAsia="宋体" w:cs="宋体"/>
          <w:sz w:val="24"/>
          <w:szCs w:val="24"/>
        </w:rPr>
        <w:t>3.适用法律</w:t>
      </w:r>
      <w:bookmarkEnd w:id="19"/>
      <w:bookmarkEnd w:id="20"/>
      <w:bookmarkEnd w:id="21"/>
    </w:p>
    <w:p>
      <w:pPr>
        <w:adjustRightInd w:val="0"/>
        <w:snapToGrid w:val="0"/>
        <w:spacing w:line="500" w:lineRule="exact"/>
        <w:ind w:firstLine="420" w:firstLineChars="175"/>
        <w:rPr>
          <w:rFonts w:ascii="宋体" w:hAnsi="宋体" w:cs="宋体"/>
          <w:sz w:val="24"/>
        </w:rPr>
      </w:pPr>
      <w:r>
        <w:rPr>
          <w:rFonts w:hint="eastAsia" w:ascii="宋体" w:hAnsi="宋体" w:cs="宋体"/>
          <w:sz w:val="24"/>
        </w:rPr>
        <w:t>3.1 本次征集及由此产生的合同受中华人民共和国有关的法律法规制约和保护。</w:t>
      </w:r>
    </w:p>
    <w:p>
      <w:pPr>
        <w:pStyle w:val="5"/>
        <w:adjustRightInd w:val="0"/>
        <w:snapToGrid w:val="0"/>
        <w:spacing w:line="500" w:lineRule="exact"/>
        <w:jc w:val="both"/>
        <w:rPr>
          <w:rFonts w:ascii="宋体" w:hAnsi="宋体" w:eastAsia="宋体" w:cs="宋体"/>
          <w:b/>
          <w:bCs/>
          <w:sz w:val="24"/>
          <w:szCs w:val="24"/>
        </w:rPr>
      </w:pPr>
      <w:bookmarkStart w:id="22" w:name="_Toc513029207"/>
      <w:bookmarkStart w:id="23" w:name="_Toc462564067"/>
      <w:bookmarkStart w:id="24" w:name="_Toc16938523"/>
      <w:bookmarkStart w:id="25" w:name="_Toc20823279"/>
      <w:r>
        <w:rPr>
          <w:rFonts w:hint="eastAsia" w:ascii="宋体" w:hAnsi="宋体" w:eastAsia="宋体" w:cs="宋体"/>
          <w:sz w:val="24"/>
          <w:szCs w:val="24"/>
        </w:rPr>
        <w:t>4.响应费用</w:t>
      </w:r>
      <w:bookmarkEnd w:id="22"/>
      <w:bookmarkEnd w:id="23"/>
      <w:bookmarkEnd w:id="24"/>
      <w:bookmarkEnd w:id="25"/>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4.1</w:t>
      </w:r>
      <w:r>
        <w:rPr>
          <w:rFonts w:hint="eastAsia" w:ascii="宋体" w:hAnsi="宋体" w:cs="宋体"/>
          <w:sz w:val="24"/>
        </w:rPr>
        <w:t xml:space="preserve"> 供应商应自行承担所有与参加响应有关的费用，无论响应过程中的做法和结果如何，江苏西亚项目管理咨询有限公司（以下简称招标代理）在任何情况下均无义务和责任承担这些费用。</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4.2本次征集招标代理服务费均由采购人支付。</w:t>
      </w:r>
    </w:p>
    <w:p>
      <w:pPr>
        <w:pStyle w:val="5"/>
        <w:adjustRightInd w:val="0"/>
        <w:snapToGrid w:val="0"/>
        <w:spacing w:line="500" w:lineRule="exact"/>
        <w:jc w:val="both"/>
        <w:rPr>
          <w:rFonts w:ascii="宋体" w:hAnsi="宋体" w:eastAsia="宋体" w:cs="宋体"/>
          <w:b/>
          <w:bCs/>
          <w:sz w:val="24"/>
          <w:szCs w:val="24"/>
        </w:rPr>
      </w:pPr>
      <w:r>
        <w:rPr>
          <w:rFonts w:hint="eastAsia" w:ascii="宋体" w:hAnsi="宋体" w:eastAsia="宋体" w:cs="宋体"/>
          <w:sz w:val="24"/>
          <w:szCs w:val="24"/>
        </w:rPr>
        <w:t>5.征集文件的约束力</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5.1</w:t>
      </w:r>
      <w:r>
        <w:rPr>
          <w:rFonts w:hint="eastAsia" w:ascii="宋体" w:hAnsi="宋体" w:cs="宋体"/>
          <w:sz w:val="24"/>
        </w:rPr>
        <w:t xml:space="preserve"> 供应商一旦参加本项目采购活动，即被认为接受了本征集文件的规定和约束。</w:t>
      </w:r>
    </w:p>
    <w:p>
      <w:pPr>
        <w:pStyle w:val="5"/>
        <w:adjustRightInd w:val="0"/>
        <w:snapToGrid w:val="0"/>
        <w:spacing w:line="500" w:lineRule="exact"/>
        <w:jc w:val="both"/>
        <w:rPr>
          <w:rFonts w:ascii="宋体" w:hAnsi="宋体" w:eastAsia="宋体" w:cs="宋体"/>
          <w:sz w:val="24"/>
          <w:szCs w:val="24"/>
        </w:rPr>
      </w:pPr>
      <w:r>
        <w:rPr>
          <w:rFonts w:hint="eastAsia" w:ascii="宋体" w:hAnsi="宋体" w:eastAsia="宋体" w:cs="宋体"/>
          <w:sz w:val="24"/>
          <w:szCs w:val="24"/>
        </w:rPr>
        <w:t>6.征集文件的解释</w:t>
      </w:r>
    </w:p>
    <w:p>
      <w:pPr>
        <w:adjustRightInd w:val="0"/>
        <w:snapToGrid w:val="0"/>
        <w:spacing w:line="500" w:lineRule="exact"/>
        <w:ind w:firstLine="480" w:firstLineChars="200"/>
        <w:rPr>
          <w:rFonts w:ascii="宋体" w:hAnsi="宋体" w:cs="宋体"/>
          <w:color w:val="FF0000"/>
          <w:sz w:val="24"/>
        </w:rPr>
      </w:pPr>
      <w:r>
        <w:rPr>
          <w:rFonts w:hint="eastAsia" w:ascii="宋体" w:hAnsi="宋体" w:cs="宋体"/>
          <w:bCs/>
          <w:sz w:val="24"/>
        </w:rPr>
        <w:t>6.1</w:t>
      </w:r>
      <w:r>
        <w:rPr>
          <w:rFonts w:hint="eastAsia" w:ascii="宋体" w:hAnsi="宋体" w:cs="宋体"/>
          <w:sz w:val="24"/>
        </w:rPr>
        <w:t>征集文件需求部分（供应商资格要求、项目需求、商务技术评分标准）由采购人解释，其它部分由招标代理解释。</w:t>
      </w:r>
    </w:p>
    <w:p>
      <w:pPr>
        <w:pStyle w:val="4"/>
        <w:adjustRightInd w:val="0"/>
        <w:snapToGrid w:val="0"/>
        <w:spacing w:before="0" w:after="0" w:line="500" w:lineRule="exact"/>
        <w:rPr>
          <w:rFonts w:ascii="宋体" w:hAnsi="宋体" w:cs="宋体"/>
          <w:sz w:val="24"/>
          <w:szCs w:val="24"/>
        </w:rPr>
      </w:pPr>
      <w:bookmarkStart w:id="26" w:name="_Toc513029209"/>
      <w:bookmarkStart w:id="27" w:name="_Toc16938525"/>
      <w:bookmarkStart w:id="28" w:name="_Toc20823281"/>
      <w:bookmarkStart w:id="29" w:name="_Toc120614215"/>
      <w:r>
        <w:rPr>
          <w:rFonts w:hint="eastAsia" w:ascii="宋体" w:hAnsi="宋体" w:cs="宋体"/>
          <w:sz w:val="24"/>
          <w:szCs w:val="24"/>
        </w:rPr>
        <w:t>（二）</w:t>
      </w:r>
      <w:bookmarkEnd w:id="26"/>
      <w:bookmarkEnd w:id="27"/>
      <w:bookmarkEnd w:id="28"/>
      <w:bookmarkEnd w:id="29"/>
      <w:r>
        <w:rPr>
          <w:rFonts w:hint="eastAsia" w:ascii="宋体" w:hAnsi="宋体" w:cs="宋体"/>
          <w:sz w:val="24"/>
          <w:szCs w:val="24"/>
        </w:rPr>
        <w:t>征集文件</w:t>
      </w:r>
    </w:p>
    <w:p>
      <w:pPr>
        <w:pStyle w:val="5"/>
        <w:adjustRightInd w:val="0"/>
        <w:snapToGrid w:val="0"/>
        <w:spacing w:line="500" w:lineRule="exact"/>
        <w:jc w:val="both"/>
        <w:rPr>
          <w:rFonts w:ascii="宋体" w:hAnsi="宋体" w:eastAsia="宋体" w:cs="宋体"/>
          <w:b/>
          <w:bCs/>
          <w:sz w:val="24"/>
          <w:szCs w:val="24"/>
        </w:rPr>
      </w:pPr>
      <w:bookmarkStart w:id="30" w:name="_Toc513029210"/>
      <w:bookmarkStart w:id="31" w:name="_Toc20823282"/>
      <w:bookmarkStart w:id="32" w:name="_Toc16938526"/>
      <w:r>
        <w:rPr>
          <w:rFonts w:hint="eastAsia" w:ascii="宋体" w:hAnsi="宋体" w:eastAsia="宋体" w:cs="宋体"/>
          <w:sz w:val="24"/>
          <w:szCs w:val="24"/>
        </w:rPr>
        <w:t>1.征集文件构成</w:t>
      </w:r>
      <w:bookmarkEnd w:id="30"/>
      <w:bookmarkEnd w:id="31"/>
      <w:bookmarkEnd w:id="32"/>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1.1</w:t>
      </w:r>
      <w:r>
        <w:rPr>
          <w:rFonts w:hint="eastAsia" w:ascii="宋体" w:hAnsi="宋体" w:cs="宋体"/>
          <w:sz w:val="24"/>
        </w:rPr>
        <w:t xml:space="preserve"> 征集文件由以下部分组成：</w:t>
      </w:r>
    </w:p>
    <w:p>
      <w:pPr>
        <w:adjustRightInd w:val="0"/>
        <w:snapToGrid w:val="0"/>
        <w:spacing w:line="500" w:lineRule="exact"/>
        <w:ind w:firstLine="360" w:firstLineChars="150"/>
        <w:rPr>
          <w:rFonts w:ascii="宋体" w:hAnsi="宋体" w:cs="宋体"/>
          <w:bCs/>
          <w:sz w:val="24"/>
        </w:rPr>
      </w:pPr>
      <w:r>
        <w:rPr>
          <w:rFonts w:hint="eastAsia" w:ascii="宋体" w:hAnsi="宋体" w:cs="宋体"/>
          <w:sz w:val="24"/>
        </w:rPr>
        <w:t>（1）</w:t>
      </w:r>
      <w:r>
        <w:rPr>
          <w:rFonts w:hint="eastAsia" w:ascii="宋体" w:hAnsi="宋体" w:cs="宋体"/>
          <w:bCs/>
          <w:sz w:val="24"/>
        </w:rPr>
        <w:t>征集活动邀请</w:t>
      </w:r>
    </w:p>
    <w:p>
      <w:pPr>
        <w:adjustRightInd w:val="0"/>
        <w:snapToGrid w:val="0"/>
        <w:spacing w:line="500" w:lineRule="exact"/>
        <w:ind w:firstLine="360" w:firstLineChars="150"/>
        <w:rPr>
          <w:rFonts w:ascii="宋体" w:hAnsi="宋体" w:cs="宋体"/>
          <w:sz w:val="24"/>
        </w:rPr>
      </w:pPr>
      <w:r>
        <w:rPr>
          <w:rFonts w:hint="eastAsia" w:ascii="宋体" w:hAnsi="宋体" w:cs="宋体"/>
          <w:sz w:val="24"/>
        </w:rPr>
        <w:t>（2）响应须知</w:t>
      </w:r>
    </w:p>
    <w:p>
      <w:pPr>
        <w:adjustRightInd w:val="0"/>
        <w:snapToGrid w:val="0"/>
        <w:spacing w:line="500" w:lineRule="exact"/>
        <w:ind w:firstLine="360" w:firstLineChars="150"/>
        <w:rPr>
          <w:rFonts w:ascii="宋体" w:hAnsi="宋体" w:cs="宋体"/>
          <w:sz w:val="24"/>
        </w:rPr>
      </w:pPr>
      <w:r>
        <w:rPr>
          <w:rFonts w:hint="eastAsia" w:ascii="宋体" w:hAnsi="宋体" w:cs="宋体"/>
          <w:sz w:val="24"/>
        </w:rPr>
        <w:t>（3）项目需求</w:t>
      </w:r>
    </w:p>
    <w:p>
      <w:pPr>
        <w:adjustRightInd w:val="0"/>
        <w:snapToGrid w:val="0"/>
        <w:spacing w:line="500" w:lineRule="exact"/>
        <w:ind w:firstLine="360" w:firstLineChars="150"/>
        <w:rPr>
          <w:rFonts w:ascii="宋体" w:hAnsi="宋体" w:cs="宋体"/>
          <w:sz w:val="24"/>
        </w:rPr>
      </w:pPr>
      <w:r>
        <w:rPr>
          <w:rFonts w:hint="eastAsia" w:ascii="宋体" w:hAnsi="宋体" w:cs="宋体"/>
          <w:sz w:val="24"/>
        </w:rPr>
        <w:t>（4）开启和评审</w:t>
      </w:r>
    </w:p>
    <w:p>
      <w:pPr>
        <w:adjustRightInd w:val="0"/>
        <w:snapToGrid w:val="0"/>
        <w:spacing w:line="500" w:lineRule="exact"/>
        <w:ind w:firstLine="360" w:firstLineChars="150"/>
        <w:rPr>
          <w:rFonts w:ascii="宋体" w:hAnsi="宋体" w:cs="宋体"/>
          <w:lang w:eastAsia="zh-Hans"/>
        </w:rPr>
      </w:pPr>
      <w:r>
        <w:rPr>
          <w:rFonts w:hint="eastAsia" w:ascii="宋体" w:hAnsi="宋体" w:cs="宋体"/>
          <w:sz w:val="24"/>
        </w:rPr>
        <w:t>（5）</w:t>
      </w:r>
      <w:r>
        <w:rPr>
          <w:rFonts w:hint="eastAsia" w:ascii="宋体" w:hAnsi="宋体" w:cs="宋体"/>
          <w:sz w:val="24"/>
          <w:lang w:eastAsia="zh-Hans"/>
        </w:rPr>
        <w:t>框架协议主要条款</w:t>
      </w:r>
    </w:p>
    <w:p>
      <w:pPr>
        <w:adjustRightInd w:val="0"/>
        <w:snapToGrid w:val="0"/>
        <w:spacing w:line="500" w:lineRule="exact"/>
        <w:ind w:firstLine="360" w:firstLineChars="150"/>
        <w:rPr>
          <w:rFonts w:ascii="宋体" w:hAnsi="宋体" w:cs="宋体"/>
          <w:sz w:val="24"/>
        </w:rPr>
      </w:pPr>
      <w:r>
        <w:rPr>
          <w:rFonts w:hint="eastAsia" w:ascii="宋体" w:hAnsi="宋体" w:cs="宋体"/>
          <w:sz w:val="24"/>
        </w:rPr>
        <w:t>（6）响应文件组成</w:t>
      </w:r>
    </w:p>
    <w:p>
      <w:pPr>
        <w:adjustRightInd w:val="0"/>
        <w:snapToGrid w:val="0"/>
        <w:spacing w:line="500" w:lineRule="exact"/>
        <w:ind w:firstLine="360" w:firstLineChars="150"/>
        <w:rPr>
          <w:rFonts w:ascii="宋体" w:hAnsi="宋体" w:cs="宋体"/>
          <w:sz w:val="24"/>
        </w:rPr>
      </w:pPr>
      <w:r>
        <w:rPr>
          <w:rFonts w:hint="eastAsia" w:ascii="宋体" w:hAnsi="宋体" w:cs="宋体"/>
          <w:sz w:val="24"/>
        </w:rPr>
        <w:t>（7）附件（如有）</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请仔细检查征集文件是否齐全，如有缺漏请立即与招标代理联系解决。</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1.2</w:t>
      </w:r>
      <w:r>
        <w:rPr>
          <w:rFonts w:hint="eastAsia" w:ascii="宋体" w:hAnsi="宋体" w:cs="宋体"/>
          <w:sz w:val="24"/>
        </w:rPr>
        <w:t xml:space="preserve"> 供应商应认真阅读征集文件中所有的事项、格式、条款和规范等要求。按征集文件要求和规定编制响应文件，并保证所提供的全部资料的真实性，以使其响应文件对征集文件作出实质性响应，否则其风险由供应商自行承担。</w:t>
      </w:r>
    </w:p>
    <w:p>
      <w:pPr>
        <w:pStyle w:val="5"/>
        <w:adjustRightInd w:val="0"/>
        <w:snapToGrid w:val="0"/>
        <w:spacing w:line="500" w:lineRule="exact"/>
        <w:jc w:val="both"/>
        <w:rPr>
          <w:rFonts w:ascii="宋体" w:hAnsi="宋体" w:eastAsia="宋体" w:cs="宋体"/>
          <w:b/>
          <w:bCs/>
          <w:sz w:val="24"/>
          <w:szCs w:val="24"/>
        </w:rPr>
      </w:pPr>
      <w:bookmarkStart w:id="33" w:name="_Toc462564070"/>
      <w:bookmarkStart w:id="34" w:name="_Toc16938527"/>
      <w:bookmarkStart w:id="35" w:name="_Toc20823283"/>
      <w:bookmarkStart w:id="36" w:name="_Toc513029211"/>
      <w:r>
        <w:rPr>
          <w:rFonts w:hint="eastAsia" w:ascii="宋体" w:hAnsi="宋体" w:eastAsia="宋体" w:cs="宋体"/>
          <w:sz w:val="24"/>
          <w:szCs w:val="24"/>
        </w:rPr>
        <w:t>2.征集文件的澄清</w:t>
      </w:r>
      <w:bookmarkEnd w:id="33"/>
      <w:bookmarkEnd w:id="34"/>
      <w:bookmarkEnd w:id="35"/>
      <w:bookmarkEnd w:id="36"/>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2.1</w:t>
      </w:r>
      <w:r>
        <w:rPr>
          <w:rFonts w:hint="eastAsia" w:ascii="宋体" w:hAnsi="宋体" w:cs="宋体"/>
          <w:sz w:val="24"/>
        </w:rPr>
        <w:t xml:space="preserve"> 任何要求对征集文件进行澄清的供应商，应在响应截止期十日前按征集公告中的通讯地址，以书面形式通知采购人。采购人有权对发出的征集文件进行必要的澄清或修改</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2.2采购人视情组织答疑会</w:t>
      </w:r>
    </w:p>
    <w:p>
      <w:pPr>
        <w:pStyle w:val="5"/>
        <w:adjustRightInd w:val="0"/>
        <w:snapToGrid w:val="0"/>
        <w:spacing w:line="500" w:lineRule="exact"/>
        <w:jc w:val="both"/>
        <w:rPr>
          <w:rFonts w:ascii="宋体" w:hAnsi="宋体" w:eastAsia="宋体" w:cs="宋体"/>
          <w:b/>
          <w:bCs/>
          <w:sz w:val="24"/>
          <w:szCs w:val="24"/>
        </w:rPr>
      </w:pPr>
      <w:bookmarkStart w:id="37" w:name="_Toc513029212"/>
      <w:bookmarkStart w:id="38" w:name="_Toc16938528"/>
      <w:bookmarkStart w:id="39" w:name="_Toc20823284"/>
      <w:bookmarkStart w:id="40" w:name="_Toc462564071"/>
      <w:r>
        <w:rPr>
          <w:rFonts w:hint="eastAsia" w:ascii="宋体" w:hAnsi="宋体" w:eastAsia="宋体" w:cs="宋体"/>
          <w:sz w:val="24"/>
          <w:szCs w:val="24"/>
        </w:rPr>
        <w:t>3.征集文件的修改</w:t>
      </w:r>
      <w:bookmarkEnd w:id="37"/>
      <w:bookmarkEnd w:id="38"/>
      <w:bookmarkEnd w:id="39"/>
      <w:bookmarkEnd w:id="40"/>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3.1</w:t>
      </w:r>
      <w:r>
        <w:rPr>
          <w:rFonts w:hint="eastAsia" w:ascii="宋体" w:hAnsi="宋体" w:cs="宋体"/>
          <w:sz w:val="24"/>
        </w:rPr>
        <w:t xml:space="preserve"> 在提交响应文件截止时间前，招标代理可以对征集文件进行修改。</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 xml:space="preserve">3.2 </w:t>
      </w:r>
      <w:r>
        <w:rPr>
          <w:rFonts w:hint="eastAsia" w:ascii="宋体" w:hAnsi="宋体" w:cs="宋体"/>
          <w:sz w:val="24"/>
        </w:rPr>
        <w:t>招标代理有权按照法定的要求推迟响应截止日期和开启日期。</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 xml:space="preserve">3.3 </w:t>
      </w:r>
      <w:r>
        <w:rPr>
          <w:rFonts w:hint="eastAsia" w:ascii="宋体" w:hAnsi="宋体" w:cs="宋体"/>
          <w:sz w:val="24"/>
        </w:rPr>
        <w:t>征集文件的修改将在南通市财政局官网公布，补充文件将作为征集文件的组成部分，并对供应商具有约束力。</w:t>
      </w:r>
    </w:p>
    <w:p>
      <w:pPr>
        <w:pStyle w:val="4"/>
        <w:adjustRightInd w:val="0"/>
        <w:snapToGrid w:val="0"/>
        <w:spacing w:before="0" w:after="0" w:line="500" w:lineRule="exact"/>
        <w:rPr>
          <w:rFonts w:ascii="宋体" w:hAnsi="宋体" w:cs="宋体"/>
          <w:sz w:val="24"/>
          <w:szCs w:val="24"/>
        </w:rPr>
      </w:pPr>
      <w:bookmarkStart w:id="41" w:name="_Toc462564072"/>
      <w:bookmarkStart w:id="42" w:name="_Toc16938529"/>
      <w:bookmarkStart w:id="43" w:name="_Toc20823285"/>
      <w:bookmarkStart w:id="44" w:name="_Toc513029213"/>
      <w:bookmarkStart w:id="45" w:name="_Toc120614216"/>
      <w:r>
        <w:rPr>
          <w:rFonts w:hint="eastAsia" w:ascii="宋体" w:hAnsi="宋体" w:cs="宋体"/>
          <w:sz w:val="24"/>
          <w:szCs w:val="24"/>
        </w:rPr>
        <w:t>（三）响应文件的编制</w:t>
      </w:r>
      <w:bookmarkEnd w:id="41"/>
      <w:bookmarkEnd w:id="42"/>
      <w:bookmarkEnd w:id="43"/>
      <w:bookmarkEnd w:id="44"/>
      <w:bookmarkEnd w:id="45"/>
    </w:p>
    <w:p>
      <w:pPr>
        <w:pStyle w:val="5"/>
        <w:adjustRightInd w:val="0"/>
        <w:snapToGrid w:val="0"/>
        <w:spacing w:line="500" w:lineRule="exact"/>
        <w:jc w:val="both"/>
        <w:rPr>
          <w:rFonts w:ascii="宋体" w:hAnsi="宋体" w:eastAsia="宋体" w:cs="宋体"/>
          <w:bCs/>
          <w:sz w:val="24"/>
          <w:szCs w:val="24"/>
        </w:rPr>
      </w:pPr>
      <w:bookmarkStart w:id="46" w:name="_Toc513029214"/>
      <w:bookmarkStart w:id="47" w:name="_Toc20823286"/>
      <w:bookmarkStart w:id="48" w:name="_Toc16938530"/>
      <w:bookmarkStart w:id="49" w:name="_Toc462564073"/>
      <w:r>
        <w:rPr>
          <w:rFonts w:hint="eastAsia" w:ascii="宋体" w:hAnsi="宋体" w:eastAsia="宋体" w:cs="宋体"/>
          <w:sz w:val="24"/>
          <w:szCs w:val="24"/>
        </w:rPr>
        <w:t>1.响应文件的语言及度量衡单位</w:t>
      </w:r>
      <w:bookmarkEnd w:id="46"/>
      <w:bookmarkEnd w:id="47"/>
      <w:bookmarkEnd w:id="48"/>
      <w:bookmarkEnd w:id="49"/>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1.1</w:t>
      </w:r>
      <w:r>
        <w:rPr>
          <w:rFonts w:hint="eastAsia" w:ascii="宋体" w:hAnsi="宋体" w:cs="宋体"/>
          <w:sz w:val="24"/>
        </w:rPr>
        <w:t xml:space="preserve"> 供应商提交的响应文件以及供应商与招标代理就有关响应的所有来往通知、函件和文件均应使用</w:t>
      </w:r>
      <w:r>
        <w:rPr>
          <w:rFonts w:hint="eastAsia" w:ascii="宋体" w:hAnsi="宋体" w:cs="宋体"/>
          <w:bCs/>
          <w:sz w:val="24"/>
        </w:rPr>
        <w:t>简体中文</w:t>
      </w:r>
      <w:r>
        <w:rPr>
          <w:rFonts w:hint="eastAsia" w:ascii="宋体" w:hAnsi="宋体" w:cs="宋体"/>
          <w:sz w:val="24"/>
        </w:rPr>
        <w:t>。</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1.2</w:t>
      </w:r>
      <w:r>
        <w:rPr>
          <w:rFonts w:hint="eastAsia" w:ascii="宋体" w:hAnsi="宋体" w:cs="宋体"/>
          <w:sz w:val="24"/>
        </w:rPr>
        <w:t xml:space="preserve"> 除技术性能另有规定外，响应文件所使用的度量衡单位，均须采用国家法定计量单位。</w:t>
      </w:r>
    </w:p>
    <w:p>
      <w:pPr>
        <w:pStyle w:val="5"/>
        <w:adjustRightInd w:val="0"/>
        <w:snapToGrid w:val="0"/>
        <w:spacing w:line="500" w:lineRule="exact"/>
        <w:jc w:val="both"/>
        <w:rPr>
          <w:rFonts w:ascii="宋体" w:hAnsi="宋体" w:eastAsia="宋体" w:cs="宋体"/>
          <w:b/>
          <w:bCs/>
          <w:sz w:val="24"/>
          <w:szCs w:val="24"/>
        </w:rPr>
      </w:pPr>
      <w:bookmarkStart w:id="50" w:name="_Toc513029215"/>
      <w:bookmarkStart w:id="51" w:name="_Toc462564074"/>
      <w:bookmarkStart w:id="52" w:name="_Toc16938531"/>
      <w:bookmarkStart w:id="53" w:name="_Toc20823287"/>
      <w:r>
        <w:rPr>
          <w:rFonts w:hint="eastAsia" w:ascii="宋体" w:hAnsi="宋体" w:eastAsia="宋体" w:cs="宋体"/>
          <w:sz w:val="24"/>
          <w:szCs w:val="24"/>
        </w:rPr>
        <w:t>2.响应文件构成</w:t>
      </w:r>
      <w:bookmarkEnd w:id="50"/>
      <w:bookmarkEnd w:id="51"/>
      <w:bookmarkEnd w:id="52"/>
      <w:bookmarkEnd w:id="53"/>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2.1</w:t>
      </w:r>
      <w:r>
        <w:rPr>
          <w:rFonts w:hint="eastAsia" w:ascii="宋体" w:hAnsi="宋体" w:cs="宋体"/>
          <w:sz w:val="24"/>
        </w:rPr>
        <w:t xml:space="preserve"> 供应商编写的响应文件应包括资格审查证明材料文件、商务技术标文件、价格标文件。供应商按“第六部分 响应文件组成”要求编写响应文件。</w:t>
      </w:r>
    </w:p>
    <w:p>
      <w:pPr>
        <w:spacing w:line="480" w:lineRule="exact"/>
        <w:ind w:firstLine="480" w:firstLineChars="200"/>
        <w:rPr>
          <w:sz w:val="24"/>
        </w:rPr>
      </w:pPr>
      <w:r>
        <w:rPr>
          <w:rFonts w:hint="eastAsia" w:ascii="宋体" w:hAnsi="宋体" w:cs="宋体"/>
          <w:bCs/>
          <w:sz w:val="24"/>
        </w:rPr>
        <w:t>2.</w:t>
      </w:r>
      <w:r>
        <w:rPr>
          <w:rFonts w:hint="eastAsia"/>
          <w:sz w:val="24"/>
        </w:rPr>
        <w:t>2</w:t>
      </w:r>
      <w:r>
        <w:rPr>
          <w:sz w:val="24"/>
        </w:rPr>
        <w:t>、</w:t>
      </w:r>
      <w:r>
        <w:rPr>
          <w:rFonts w:hint="eastAsia"/>
          <w:sz w:val="24"/>
        </w:rPr>
        <w:t>供应商</w:t>
      </w:r>
      <w:r>
        <w:rPr>
          <w:sz w:val="24"/>
        </w:rPr>
        <w:t>应准备</w:t>
      </w:r>
      <w:r>
        <w:rPr>
          <w:rFonts w:hint="eastAsia"/>
          <w:b/>
          <w:bCs/>
          <w:sz w:val="24"/>
          <w:highlight w:val="yellow"/>
          <w:u w:val="single"/>
        </w:rPr>
        <w:t>伍</w:t>
      </w:r>
      <w:r>
        <w:rPr>
          <w:rFonts w:hint="eastAsia"/>
          <w:sz w:val="24"/>
          <w:highlight w:val="yellow"/>
        </w:rPr>
        <w:t>份完整的投标文件，其中正本</w:t>
      </w:r>
      <w:r>
        <w:rPr>
          <w:rFonts w:hint="eastAsia"/>
          <w:b/>
          <w:bCs/>
          <w:sz w:val="24"/>
          <w:highlight w:val="yellow"/>
          <w:u w:val="single"/>
        </w:rPr>
        <w:t>壹</w:t>
      </w:r>
      <w:r>
        <w:rPr>
          <w:rFonts w:hint="eastAsia"/>
          <w:sz w:val="24"/>
          <w:highlight w:val="yellow"/>
        </w:rPr>
        <w:t>份，副本</w:t>
      </w:r>
      <w:r>
        <w:rPr>
          <w:rFonts w:hint="eastAsia"/>
          <w:b/>
          <w:bCs/>
          <w:sz w:val="24"/>
          <w:highlight w:val="yellow"/>
        </w:rPr>
        <w:t>肆</w:t>
      </w:r>
      <w:r>
        <w:rPr>
          <w:rFonts w:hint="eastAsia"/>
          <w:sz w:val="24"/>
          <w:highlight w:val="yellow"/>
        </w:rPr>
        <w:t>份</w:t>
      </w:r>
      <w:r>
        <w:rPr>
          <w:sz w:val="24"/>
        </w:rPr>
        <w:t>，并标明“正本”或“副本”字样，若有差异，概以“正本”为准。</w:t>
      </w:r>
    </w:p>
    <w:p>
      <w:pPr>
        <w:spacing w:line="480" w:lineRule="exact"/>
        <w:ind w:firstLine="480" w:firstLineChars="200"/>
        <w:rPr>
          <w:sz w:val="24"/>
        </w:rPr>
      </w:pPr>
      <w:r>
        <w:rPr>
          <w:rFonts w:hint="eastAsia" w:ascii="宋体" w:hAnsi="宋体" w:cs="宋体"/>
          <w:bCs/>
          <w:sz w:val="24"/>
        </w:rPr>
        <w:t>2.3</w:t>
      </w:r>
      <w:r>
        <w:rPr>
          <w:sz w:val="24"/>
        </w:rPr>
        <w:t>、</w:t>
      </w:r>
      <w:r>
        <w:rPr>
          <w:rFonts w:hint="eastAsia"/>
          <w:sz w:val="24"/>
        </w:rPr>
        <w:t>响应</w:t>
      </w:r>
      <w:r>
        <w:rPr>
          <w:sz w:val="24"/>
        </w:rPr>
        <w:t>文件分</w:t>
      </w:r>
      <w:r>
        <w:rPr>
          <w:rFonts w:hint="eastAsia"/>
          <w:sz w:val="24"/>
        </w:rPr>
        <w:t>三</w:t>
      </w:r>
      <w:r>
        <w:rPr>
          <w:sz w:val="24"/>
        </w:rPr>
        <w:t>册密封。第一册</w:t>
      </w:r>
      <w:r>
        <w:rPr>
          <w:rFonts w:hint="eastAsia"/>
          <w:sz w:val="24"/>
        </w:rPr>
        <w:t>为</w:t>
      </w:r>
      <w:r>
        <w:rPr>
          <w:sz w:val="24"/>
        </w:rPr>
        <w:t>“资格审查文件”</w:t>
      </w:r>
      <w:r>
        <w:rPr>
          <w:rFonts w:hint="eastAsia"/>
          <w:sz w:val="24"/>
        </w:rPr>
        <w:t>，</w:t>
      </w:r>
      <w:r>
        <w:rPr>
          <w:sz w:val="24"/>
        </w:rPr>
        <w:t>第</w:t>
      </w:r>
      <w:r>
        <w:rPr>
          <w:rFonts w:hint="eastAsia"/>
          <w:sz w:val="24"/>
        </w:rPr>
        <w:t>二</w:t>
      </w:r>
      <w:r>
        <w:rPr>
          <w:sz w:val="24"/>
        </w:rPr>
        <w:t>册为“技术标”，第</w:t>
      </w:r>
      <w:r>
        <w:rPr>
          <w:rFonts w:hint="eastAsia"/>
          <w:sz w:val="24"/>
        </w:rPr>
        <w:t>三</w:t>
      </w:r>
      <w:r>
        <w:rPr>
          <w:sz w:val="24"/>
        </w:rPr>
        <w:t>册为“商务标”，投标文件的第一册、第二册、第三册应分别密封，并在封袋上标明 “资格审查文件”、“技术标”、“商务标”。</w:t>
      </w:r>
    </w:p>
    <w:p>
      <w:pPr>
        <w:spacing w:line="480" w:lineRule="exact"/>
        <w:ind w:firstLine="480" w:firstLineChars="200"/>
        <w:rPr>
          <w:sz w:val="24"/>
        </w:rPr>
      </w:pPr>
      <w:r>
        <w:rPr>
          <w:rFonts w:hint="eastAsia" w:ascii="宋体" w:hAnsi="宋体" w:cs="宋体"/>
          <w:bCs/>
          <w:sz w:val="24"/>
        </w:rPr>
        <w:t>2.4</w:t>
      </w:r>
      <w:r>
        <w:rPr>
          <w:sz w:val="24"/>
        </w:rPr>
        <w:t>、</w:t>
      </w:r>
      <w:r>
        <w:rPr>
          <w:rFonts w:hint="eastAsia"/>
          <w:sz w:val="24"/>
        </w:rPr>
        <w:t>供应商</w:t>
      </w:r>
      <w:r>
        <w:rPr>
          <w:sz w:val="24"/>
        </w:rPr>
        <w:t>可将投标文件正副本统一密封或分别密封，如正本和副本分别密封的，应在封袋上标明正、副本字样。</w:t>
      </w:r>
    </w:p>
    <w:p>
      <w:pPr>
        <w:spacing w:line="480" w:lineRule="exact"/>
        <w:ind w:firstLine="470" w:firstLineChars="196"/>
        <w:outlineLvl w:val="1"/>
        <w:rPr>
          <w:sz w:val="24"/>
        </w:rPr>
      </w:pPr>
      <w:r>
        <w:rPr>
          <w:rFonts w:hint="eastAsia" w:ascii="宋体" w:hAnsi="宋体" w:cs="宋体"/>
          <w:bCs/>
          <w:sz w:val="24"/>
        </w:rPr>
        <w:t>2.5</w:t>
      </w:r>
      <w:r>
        <w:rPr>
          <w:sz w:val="24"/>
        </w:rPr>
        <w:t>、投标文件正本须按招标文件要求由法定代表人或被授权人签字或盖章并加盖</w:t>
      </w:r>
      <w:r>
        <w:rPr>
          <w:rFonts w:hint="eastAsia"/>
          <w:sz w:val="24"/>
        </w:rPr>
        <w:t>供应商</w:t>
      </w:r>
      <w:r>
        <w:rPr>
          <w:sz w:val="24"/>
        </w:rPr>
        <w:t>印章。副本可复印，但须加盖</w:t>
      </w:r>
      <w:r>
        <w:rPr>
          <w:rFonts w:hint="eastAsia"/>
          <w:sz w:val="24"/>
        </w:rPr>
        <w:t>供应商</w:t>
      </w:r>
      <w:r>
        <w:rPr>
          <w:sz w:val="24"/>
        </w:rPr>
        <w:t>印章。</w:t>
      </w:r>
    </w:p>
    <w:p>
      <w:pPr>
        <w:pStyle w:val="5"/>
        <w:adjustRightInd w:val="0"/>
        <w:snapToGrid w:val="0"/>
        <w:spacing w:line="500" w:lineRule="exact"/>
        <w:jc w:val="both"/>
        <w:rPr>
          <w:rFonts w:ascii="宋体" w:hAnsi="宋体" w:eastAsia="宋体" w:cs="宋体"/>
          <w:b/>
          <w:bCs/>
          <w:sz w:val="24"/>
          <w:szCs w:val="24"/>
        </w:rPr>
      </w:pPr>
      <w:bookmarkStart w:id="54" w:name="_Hlt26668975"/>
      <w:bookmarkEnd w:id="54"/>
      <w:bookmarkStart w:id="55" w:name="_Hlt26670360"/>
      <w:bookmarkEnd w:id="55"/>
      <w:bookmarkStart w:id="56" w:name="_Hlt26954838"/>
      <w:bookmarkEnd w:id="56"/>
      <w:bookmarkStart w:id="57" w:name="_Toc14577360"/>
      <w:bookmarkStart w:id="58" w:name="_Toc49090511"/>
      <w:r>
        <w:rPr>
          <w:rFonts w:hint="eastAsia" w:ascii="宋体" w:hAnsi="宋体" w:eastAsia="宋体" w:cs="宋体"/>
          <w:sz w:val="24"/>
          <w:szCs w:val="24"/>
        </w:rPr>
        <w:t>3.响应有效期</w:t>
      </w:r>
      <w:bookmarkEnd w:id="57"/>
      <w:bookmarkEnd w:id="58"/>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3.1响应有效期为开启之日后</w:t>
      </w:r>
      <w:r>
        <w:rPr>
          <w:rFonts w:hint="eastAsia" w:ascii="宋体" w:hAnsi="宋体" w:cs="宋体"/>
          <w:b/>
          <w:sz w:val="24"/>
          <w:u w:val="single"/>
        </w:rPr>
        <w:t>六十天</w:t>
      </w:r>
      <w:r>
        <w:rPr>
          <w:rFonts w:hint="eastAsia" w:ascii="宋体" w:hAnsi="宋体" w:cs="宋体"/>
          <w:bCs/>
          <w:sz w:val="24"/>
        </w:rPr>
        <w:t>。响应有效期比规定短的将被视为非</w:t>
      </w:r>
      <w:r>
        <w:rPr>
          <w:rFonts w:hint="eastAsia" w:ascii="宋体" w:hAnsi="宋体" w:cs="宋体"/>
          <w:bCs/>
          <w:sz w:val="24"/>
          <w:lang w:eastAsia="zh-Hans"/>
        </w:rPr>
        <w:t>实质</w:t>
      </w:r>
      <w:r>
        <w:rPr>
          <w:rFonts w:hint="eastAsia" w:ascii="宋体" w:hAnsi="宋体" w:cs="宋体"/>
          <w:bCs/>
          <w:sz w:val="24"/>
        </w:rPr>
        <w:t>性响应而予以拒绝。</w:t>
      </w:r>
    </w:p>
    <w:p>
      <w:pPr>
        <w:pStyle w:val="4"/>
        <w:adjustRightInd w:val="0"/>
        <w:snapToGrid w:val="0"/>
        <w:spacing w:before="0" w:after="0" w:line="500" w:lineRule="exact"/>
        <w:rPr>
          <w:rFonts w:ascii="宋体" w:hAnsi="宋体" w:cs="宋体"/>
          <w:sz w:val="24"/>
          <w:szCs w:val="24"/>
        </w:rPr>
      </w:pPr>
      <w:bookmarkStart w:id="59" w:name="_Hlt26954852"/>
      <w:bookmarkEnd w:id="59"/>
      <w:bookmarkStart w:id="60" w:name="_Hlt26954739"/>
      <w:bookmarkEnd w:id="60"/>
      <w:bookmarkStart w:id="61" w:name="_Toc120614217"/>
      <w:bookmarkStart w:id="62" w:name="_Toc20823296"/>
      <w:bookmarkStart w:id="63" w:name="_Toc16938540"/>
      <w:bookmarkStart w:id="64" w:name="_Toc513029224"/>
      <w:r>
        <w:rPr>
          <w:rFonts w:hint="eastAsia" w:ascii="宋体" w:hAnsi="宋体" w:cs="宋体"/>
          <w:sz w:val="24"/>
          <w:szCs w:val="24"/>
        </w:rPr>
        <w:t>（四）响应文件的递交</w:t>
      </w:r>
      <w:bookmarkEnd w:id="61"/>
      <w:bookmarkEnd w:id="62"/>
      <w:bookmarkEnd w:id="63"/>
      <w:bookmarkEnd w:id="64"/>
    </w:p>
    <w:p>
      <w:pPr>
        <w:pStyle w:val="5"/>
        <w:adjustRightInd w:val="0"/>
        <w:snapToGrid w:val="0"/>
        <w:spacing w:line="500" w:lineRule="exact"/>
        <w:jc w:val="both"/>
        <w:rPr>
          <w:rFonts w:ascii="宋体" w:hAnsi="宋体" w:eastAsia="宋体" w:cs="宋体"/>
          <w:b/>
          <w:bCs/>
          <w:sz w:val="24"/>
          <w:szCs w:val="24"/>
        </w:rPr>
      </w:pPr>
      <w:bookmarkStart w:id="65" w:name="_Toc462564084"/>
      <w:bookmarkStart w:id="66" w:name="_Toc20823297"/>
      <w:bookmarkStart w:id="67" w:name="_Toc16938541"/>
      <w:bookmarkStart w:id="68" w:name="_Toc513029225"/>
      <w:r>
        <w:rPr>
          <w:rFonts w:hint="eastAsia" w:ascii="宋体" w:hAnsi="宋体" w:eastAsia="宋体" w:cs="宋体"/>
          <w:sz w:val="24"/>
          <w:szCs w:val="24"/>
        </w:rPr>
        <w:t>1.</w:t>
      </w:r>
      <w:bookmarkEnd w:id="65"/>
      <w:bookmarkEnd w:id="66"/>
      <w:bookmarkEnd w:id="67"/>
      <w:bookmarkEnd w:id="68"/>
      <w:r>
        <w:rPr>
          <w:rFonts w:hint="eastAsia" w:ascii="宋体" w:hAnsi="宋体" w:eastAsia="宋体" w:cs="宋体"/>
          <w:sz w:val="24"/>
          <w:szCs w:val="24"/>
        </w:rPr>
        <w:t>响应文件的递交</w:t>
      </w:r>
    </w:p>
    <w:p>
      <w:pPr>
        <w:adjustRightInd w:val="0"/>
        <w:snapToGrid w:val="0"/>
        <w:spacing w:line="500" w:lineRule="exact"/>
        <w:ind w:firstLine="556"/>
        <w:rPr>
          <w:rFonts w:ascii="宋体" w:hAnsi="宋体" w:cs="宋体"/>
          <w:bCs/>
          <w:sz w:val="24"/>
        </w:rPr>
      </w:pPr>
      <w:bookmarkStart w:id="69" w:name="_Toc513029226"/>
      <w:bookmarkStart w:id="70" w:name="_Toc16938542"/>
      <w:bookmarkStart w:id="71" w:name="_Toc20823298"/>
      <w:r>
        <w:rPr>
          <w:rFonts w:hint="eastAsia" w:ascii="宋体" w:hAnsi="宋体" w:cs="宋体"/>
          <w:bCs/>
          <w:sz w:val="24"/>
        </w:rPr>
        <w:t>本项目采用邮寄的方式递交，具体要求详见征集公告。</w:t>
      </w:r>
    </w:p>
    <w:p>
      <w:pPr>
        <w:adjustRightInd w:val="0"/>
        <w:snapToGrid w:val="0"/>
        <w:spacing w:line="500" w:lineRule="exact"/>
        <w:rPr>
          <w:rFonts w:ascii="宋体" w:hAnsi="宋体" w:cs="宋体"/>
          <w:b/>
          <w:sz w:val="24"/>
        </w:rPr>
      </w:pPr>
      <w:r>
        <w:rPr>
          <w:rFonts w:hint="eastAsia" w:ascii="宋体" w:hAnsi="宋体" w:cs="宋体"/>
          <w:sz w:val="24"/>
        </w:rPr>
        <w:t>2.</w:t>
      </w:r>
      <w:r>
        <w:rPr>
          <w:rFonts w:hint="eastAsia" w:ascii="宋体" w:hAnsi="宋体" w:cs="宋体"/>
          <w:bCs/>
          <w:sz w:val="24"/>
        </w:rPr>
        <w:t>提交响应文件</w:t>
      </w:r>
      <w:r>
        <w:rPr>
          <w:rFonts w:hint="eastAsia" w:ascii="宋体" w:hAnsi="宋体" w:cs="宋体"/>
          <w:sz w:val="24"/>
        </w:rPr>
        <w:t>截止日期</w:t>
      </w:r>
      <w:bookmarkEnd w:id="69"/>
      <w:bookmarkEnd w:id="70"/>
      <w:bookmarkEnd w:id="71"/>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2.1 供应商提交响应文件的时间不得迟于征集公告中规定的提交响应文件截止时间。</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2.2</w:t>
      </w:r>
      <w:r>
        <w:rPr>
          <w:rFonts w:hint="eastAsia" w:ascii="宋体" w:hAnsi="宋体" w:cs="宋体"/>
          <w:bCs/>
          <w:sz w:val="24"/>
        </w:rPr>
        <w:t xml:space="preserve"> 招标代理可以按照规定，通过修改征集文件酌情延长响应截止日期，在此情况下，供应商的所有权利和义务以及供应商受制的截止日期均应以延长后新的截止日期为准。</w:t>
      </w:r>
    </w:p>
    <w:p>
      <w:pPr>
        <w:pStyle w:val="5"/>
        <w:adjustRightInd w:val="0"/>
        <w:snapToGrid w:val="0"/>
        <w:spacing w:line="500" w:lineRule="exact"/>
        <w:jc w:val="both"/>
        <w:rPr>
          <w:rFonts w:ascii="宋体" w:hAnsi="宋体" w:eastAsia="宋体" w:cs="宋体"/>
          <w:b/>
          <w:bCs/>
          <w:sz w:val="24"/>
          <w:szCs w:val="24"/>
        </w:rPr>
      </w:pPr>
      <w:bookmarkStart w:id="72" w:name="_Toc16938543"/>
      <w:bookmarkStart w:id="73" w:name="_Toc513029227"/>
      <w:bookmarkStart w:id="74" w:name="_Toc20823299"/>
      <w:r>
        <w:rPr>
          <w:rFonts w:hint="eastAsia" w:ascii="宋体" w:hAnsi="宋体" w:eastAsia="宋体" w:cs="宋体"/>
          <w:sz w:val="24"/>
          <w:szCs w:val="24"/>
        </w:rPr>
        <w:t>3.</w:t>
      </w:r>
      <w:bookmarkEnd w:id="72"/>
      <w:bookmarkEnd w:id="73"/>
      <w:bookmarkEnd w:id="74"/>
      <w:r>
        <w:rPr>
          <w:rFonts w:hint="eastAsia" w:ascii="宋体" w:hAnsi="宋体" w:eastAsia="宋体" w:cs="宋体"/>
          <w:sz w:val="24"/>
          <w:szCs w:val="24"/>
        </w:rPr>
        <w:t>响应文件的拒收</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3.1 招标代理拒绝接收在其规定的提交响应文件截止时间后递交的任何响应文件。</w:t>
      </w:r>
    </w:p>
    <w:p>
      <w:pPr>
        <w:pStyle w:val="5"/>
        <w:adjustRightInd w:val="0"/>
        <w:snapToGrid w:val="0"/>
        <w:spacing w:line="500" w:lineRule="exact"/>
        <w:jc w:val="both"/>
        <w:rPr>
          <w:rFonts w:ascii="宋体" w:hAnsi="宋体" w:eastAsia="宋体" w:cs="宋体"/>
          <w:b/>
          <w:bCs/>
          <w:sz w:val="24"/>
          <w:szCs w:val="24"/>
        </w:rPr>
      </w:pPr>
      <w:bookmarkStart w:id="75" w:name="_Toc16938544"/>
      <w:bookmarkStart w:id="76" w:name="_Toc513029228"/>
      <w:bookmarkStart w:id="77" w:name="_Toc20823300"/>
      <w:r>
        <w:rPr>
          <w:rFonts w:hint="eastAsia" w:ascii="宋体" w:hAnsi="宋体" w:eastAsia="宋体" w:cs="宋体"/>
          <w:sz w:val="24"/>
          <w:szCs w:val="24"/>
        </w:rPr>
        <w:t>4.响应文件的撤回和修改</w:t>
      </w:r>
      <w:bookmarkEnd w:id="75"/>
      <w:bookmarkEnd w:id="76"/>
      <w:bookmarkEnd w:id="77"/>
    </w:p>
    <w:p>
      <w:pPr>
        <w:adjustRightInd w:val="0"/>
        <w:snapToGrid w:val="0"/>
        <w:spacing w:line="500" w:lineRule="exact"/>
        <w:ind w:firstLine="480" w:firstLineChars="200"/>
        <w:rPr>
          <w:rFonts w:ascii="宋体" w:hAnsi="宋体" w:cs="宋体"/>
          <w:sz w:val="24"/>
        </w:rPr>
      </w:pPr>
      <w:r>
        <w:rPr>
          <w:rFonts w:hint="eastAsia" w:ascii="宋体" w:hAnsi="宋体" w:cs="宋体"/>
          <w:sz w:val="24"/>
        </w:rPr>
        <w:t>4.1 响应文件的撤回</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4.1.1 响应文件的撤回</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供应商可在提交响应文件截止时间前，撤回其响应文件。</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4.1.2 供应商撤回响应文件，则认为其不再参与本项目响应活动。</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4.2 响应文件的修改</w:t>
      </w:r>
    </w:p>
    <w:p>
      <w:pPr>
        <w:adjustRightInd w:val="0"/>
        <w:snapToGrid w:val="0"/>
        <w:spacing w:line="500" w:lineRule="exact"/>
        <w:ind w:firstLine="555"/>
        <w:rPr>
          <w:rFonts w:ascii="宋体" w:hAnsi="宋体" w:cs="宋体"/>
          <w:bCs/>
          <w:sz w:val="24"/>
        </w:rPr>
      </w:pPr>
      <w:r>
        <w:rPr>
          <w:rFonts w:hint="eastAsia" w:ascii="宋体" w:hAnsi="宋体" w:cs="宋体"/>
          <w:bCs/>
          <w:sz w:val="24"/>
        </w:rPr>
        <w:t>供应商可在提交响应文件截止时间前，对其响应文件进行修改。</w:t>
      </w:r>
    </w:p>
    <w:p>
      <w:pPr>
        <w:adjustRightInd w:val="0"/>
        <w:snapToGrid w:val="0"/>
        <w:spacing w:line="500" w:lineRule="exact"/>
        <w:ind w:firstLine="555"/>
        <w:rPr>
          <w:rFonts w:ascii="宋体" w:hAnsi="宋体" w:cs="宋体"/>
          <w:bCs/>
          <w:sz w:val="24"/>
        </w:rPr>
      </w:pPr>
      <w:r>
        <w:rPr>
          <w:rFonts w:hint="eastAsia" w:ascii="宋体" w:hAnsi="宋体" w:cs="宋体"/>
          <w:sz w:val="24"/>
        </w:rPr>
        <w:t>4.3</w:t>
      </w:r>
      <w:r>
        <w:rPr>
          <w:rFonts w:hint="eastAsia" w:ascii="宋体" w:hAnsi="宋体" w:cs="宋体"/>
          <w:bCs/>
          <w:sz w:val="24"/>
        </w:rPr>
        <w:t xml:space="preserve"> 在提交响应文件截止时间之后，供应商不得对其响应文件作任何修改。</w:t>
      </w:r>
    </w:p>
    <w:p>
      <w:pPr>
        <w:adjustRightInd w:val="0"/>
        <w:snapToGrid w:val="0"/>
        <w:spacing w:line="500" w:lineRule="exact"/>
        <w:ind w:firstLine="555"/>
        <w:rPr>
          <w:rFonts w:ascii="宋体" w:hAnsi="宋体" w:cs="宋体"/>
          <w:bCs/>
          <w:sz w:val="24"/>
        </w:rPr>
      </w:pPr>
      <w:r>
        <w:rPr>
          <w:rFonts w:hint="eastAsia" w:ascii="宋体" w:hAnsi="宋体" w:cs="宋体"/>
          <w:sz w:val="24"/>
        </w:rPr>
        <w:t>4.4</w:t>
      </w:r>
      <w:r>
        <w:rPr>
          <w:rFonts w:hint="eastAsia" w:ascii="宋体" w:hAnsi="宋体" w:cs="宋体"/>
          <w:bCs/>
          <w:sz w:val="24"/>
        </w:rPr>
        <w:t xml:space="preserve"> 在提交响应文件截止时间至征集文件中规定的响应有效期满之间的这段时间内，供应商不得撤回其响应。</w:t>
      </w:r>
    </w:p>
    <w:p>
      <w:pPr>
        <w:pStyle w:val="4"/>
        <w:adjustRightInd w:val="0"/>
        <w:snapToGrid w:val="0"/>
        <w:spacing w:before="0" w:after="0" w:line="500" w:lineRule="exact"/>
        <w:rPr>
          <w:rFonts w:ascii="宋体" w:hAnsi="宋体" w:cs="宋体"/>
          <w:sz w:val="24"/>
          <w:szCs w:val="24"/>
        </w:rPr>
      </w:pPr>
      <w:bookmarkStart w:id="78" w:name="_Toc20823301"/>
      <w:bookmarkStart w:id="79" w:name="_Toc16938545"/>
      <w:bookmarkStart w:id="80" w:name="_Toc120614218"/>
      <w:bookmarkStart w:id="81" w:name="_Toc513029229"/>
      <w:r>
        <w:rPr>
          <w:rFonts w:hint="eastAsia" w:ascii="宋体" w:hAnsi="宋体" w:cs="宋体"/>
          <w:sz w:val="24"/>
          <w:szCs w:val="24"/>
        </w:rPr>
        <w:t>（五）开启与</w:t>
      </w:r>
      <w:bookmarkEnd w:id="78"/>
      <w:bookmarkEnd w:id="79"/>
      <w:bookmarkEnd w:id="80"/>
      <w:bookmarkEnd w:id="81"/>
      <w:r>
        <w:rPr>
          <w:rFonts w:hint="eastAsia" w:ascii="宋体" w:hAnsi="宋体" w:cs="宋体"/>
          <w:sz w:val="24"/>
          <w:szCs w:val="24"/>
        </w:rPr>
        <w:t>评审</w:t>
      </w:r>
    </w:p>
    <w:p>
      <w:pPr>
        <w:pStyle w:val="5"/>
        <w:adjustRightInd w:val="0"/>
        <w:snapToGrid w:val="0"/>
        <w:spacing w:line="500" w:lineRule="exact"/>
        <w:jc w:val="both"/>
        <w:rPr>
          <w:rFonts w:ascii="宋体" w:hAnsi="宋体" w:eastAsia="宋体" w:cs="宋体"/>
          <w:b/>
          <w:bCs/>
          <w:sz w:val="24"/>
          <w:szCs w:val="24"/>
        </w:rPr>
      </w:pPr>
      <w:bookmarkStart w:id="82" w:name="_Toc16938546"/>
      <w:bookmarkStart w:id="83" w:name="_Toc20823302"/>
      <w:bookmarkStart w:id="84" w:name="_Toc513029230"/>
      <w:r>
        <w:rPr>
          <w:rFonts w:hint="eastAsia" w:ascii="宋体" w:hAnsi="宋体" w:eastAsia="宋体" w:cs="宋体"/>
          <w:sz w:val="24"/>
          <w:szCs w:val="24"/>
        </w:rPr>
        <w:t>1</w:t>
      </w:r>
      <w:bookmarkEnd w:id="82"/>
      <w:bookmarkEnd w:id="83"/>
      <w:bookmarkEnd w:id="84"/>
      <w:r>
        <w:rPr>
          <w:rFonts w:hint="eastAsia" w:ascii="宋体" w:hAnsi="宋体" w:eastAsia="宋体" w:cs="宋体"/>
          <w:sz w:val="24"/>
          <w:szCs w:val="24"/>
        </w:rPr>
        <w:t>开启</w:t>
      </w:r>
    </w:p>
    <w:p>
      <w:pPr>
        <w:numPr>
          <w:ilvl w:val="1"/>
          <w:numId w:val="2"/>
        </w:numPr>
        <w:adjustRightInd w:val="0"/>
        <w:snapToGrid w:val="0"/>
        <w:spacing w:line="500" w:lineRule="exact"/>
        <w:ind w:firstLine="556"/>
        <w:rPr>
          <w:rFonts w:ascii="宋体" w:hAnsi="宋体" w:cs="宋体"/>
          <w:bCs/>
          <w:sz w:val="24"/>
        </w:rPr>
      </w:pPr>
      <w:r>
        <w:rPr>
          <w:rFonts w:hint="eastAsia" w:ascii="宋体" w:hAnsi="宋体" w:cs="宋体"/>
          <w:bCs/>
          <w:sz w:val="24"/>
        </w:rPr>
        <w:t>招标代理将在征集公告中规定的时间和地点组织开启。</w:t>
      </w:r>
    </w:p>
    <w:p>
      <w:pPr>
        <w:adjustRightInd w:val="0"/>
        <w:snapToGrid w:val="0"/>
        <w:spacing w:line="500" w:lineRule="exact"/>
        <w:ind w:left="556"/>
        <w:rPr>
          <w:rFonts w:ascii="宋体" w:hAnsi="宋体" w:cs="宋体"/>
          <w:sz w:val="24"/>
        </w:rPr>
      </w:pPr>
      <w:r>
        <w:rPr>
          <w:rFonts w:hint="eastAsia" w:ascii="宋体" w:hAnsi="宋体" w:cs="宋体"/>
          <w:bCs/>
          <w:sz w:val="24"/>
        </w:rPr>
        <w:t>1.2开启仪</w:t>
      </w:r>
      <w:r>
        <w:rPr>
          <w:rFonts w:hint="eastAsia" w:ascii="宋体" w:hAnsi="宋体" w:cs="宋体"/>
          <w:sz w:val="24"/>
        </w:rPr>
        <w:t>式由招标代理组织，在腾讯会议中进行开启。</w:t>
      </w:r>
    </w:p>
    <w:p>
      <w:pPr>
        <w:pStyle w:val="5"/>
        <w:adjustRightInd w:val="0"/>
        <w:snapToGrid w:val="0"/>
        <w:spacing w:line="500" w:lineRule="exact"/>
        <w:jc w:val="both"/>
        <w:rPr>
          <w:rFonts w:ascii="宋体" w:hAnsi="宋体" w:eastAsia="宋体" w:cs="宋体"/>
          <w:b/>
          <w:bCs/>
          <w:sz w:val="24"/>
          <w:szCs w:val="24"/>
        </w:rPr>
      </w:pPr>
      <w:bookmarkStart w:id="85" w:name="_Toc20823303"/>
      <w:bookmarkStart w:id="86" w:name="_Toc16938547"/>
      <w:bookmarkStart w:id="87" w:name="_Toc513029231"/>
      <w:r>
        <w:rPr>
          <w:rFonts w:hint="eastAsia" w:ascii="宋体" w:hAnsi="宋体" w:eastAsia="宋体" w:cs="宋体"/>
          <w:sz w:val="24"/>
          <w:szCs w:val="24"/>
        </w:rPr>
        <w:t>2评审委员会</w:t>
      </w:r>
    </w:p>
    <w:p>
      <w:pPr>
        <w:adjustRightInd w:val="0"/>
        <w:snapToGrid w:val="0"/>
        <w:spacing w:line="500" w:lineRule="exact"/>
        <w:rPr>
          <w:rFonts w:ascii="宋体" w:hAnsi="宋体" w:cs="宋体"/>
          <w:b/>
          <w:sz w:val="24"/>
        </w:rPr>
      </w:pPr>
      <w:r>
        <w:rPr>
          <w:rFonts w:hint="eastAsia" w:ascii="宋体" w:hAnsi="宋体" w:cs="宋体"/>
          <w:b/>
          <w:sz w:val="24"/>
        </w:rPr>
        <w:t xml:space="preserve">  </w:t>
      </w:r>
      <w:r>
        <w:rPr>
          <w:rFonts w:hint="eastAsia" w:ascii="宋体" w:hAnsi="宋体" w:cs="宋体"/>
          <w:sz w:val="24"/>
        </w:rPr>
        <w:t xml:space="preserve">  2.1</w:t>
      </w:r>
      <w:r>
        <w:rPr>
          <w:rFonts w:hint="eastAsia" w:ascii="宋体" w:hAnsi="宋体" w:cs="宋体"/>
          <w:b/>
          <w:sz w:val="24"/>
        </w:rPr>
        <w:t xml:space="preserve"> </w:t>
      </w:r>
      <w:r>
        <w:rPr>
          <w:rFonts w:hint="eastAsia" w:ascii="宋体" w:hAnsi="宋体" w:cs="宋体"/>
          <w:sz w:val="24"/>
        </w:rPr>
        <w:t>开启后，招标代理将立即组织评审委员会（以下简称评委会）进行评审。</w:t>
      </w:r>
    </w:p>
    <w:p>
      <w:pPr>
        <w:adjustRightInd w:val="0"/>
        <w:snapToGrid w:val="0"/>
        <w:spacing w:line="500" w:lineRule="exact"/>
        <w:rPr>
          <w:rFonts w:ascii="宋体" w:hAnsi="宋体" w:cs="宋体"/>
          <w:sz w:val="24"/>
        </w:rPr>
      </w:pPr>
      <w:r>
        <w:rPr>
          <w:rFonts w:hint="eastAsia" w:ascii="宋体" w:hAnsi="宋体" w:cs="宋体"/>
          <w:b/>
          <w:sz w:val="24"/>
        </w:rPr>
        <w:t xml:space="preserve">  </w:t>
      </w:r>
      <w:r>
        <w:rPr>
          <w:rFonts w:hint="eastAsia" w:ascii="宋体" w:hAnsi="宋体" w:cs="宋体"/>
          <w:sz w:val="24"/>
        </w:rPr>
        <w:t xml:space="preserve">  2.2 评委会由1名采购人代表和4名专家组成，且人员构成符合政府采购有关规定。</w:t>
      </w:r>
    </w:p>
    <w:p>
      <w:pPr>
        <w:adjustRightInd w:val="0"/>
        <w:snapToGrid w:val="0"/>
        <w:spacing w:line="500" w:lineRule="exact"/>
        <w:rPr>
          <w:rFonts w:ascii="宋体" w:hAnsi="宋体" w:cs="宋体"/>
          <w:sz w:val="24"/>
        </w:rPr>
      </w:pPr>
      <w:r>
        <w:rPr>
          <w:rFonts w:hint="eastAsia" w:ascii="宋体" w:hAnsi="宋体" w:cs="宋体"/>
          <w:b/>
          <w:sz w:val="24"/>
        </w:rPr>
        <w:t xml:space="preserve">  </w:t>
      </w:r>
      <w:r>
        <w:rPr>
          <w:rFonts w:hint="eastAsia" w:ascii="宋体" w:hAnsi="宋体" w:cs="宋体"/>
          <w:sz w:val="24"/>
        </w:rPr>
        <w:t xml:space="preserve">  2.3评委会独立工作，负责评审所有响应文件并确定入围</w:t>
      </w:r>
      <w:r>
        <w:rPr>
          <w:rFonts w:hint="eastAsia" w:ascii="宋体" w:hAnsi="宋体" w:cs="宋体"/>
          <w:sz w:val="24"/>
          <w:lang w:val="en-US" w:eastAsia="zh-CN"/>
        </w:rPr>
        <w:t>候选人</w:t>
      </w:r>
      <w:bookmarkStart w:id="111" w:name="_GoBack"/>
      <w:bookmarkEnd w:id="111"/>
      <w:r>
        <w:rPr>
          <w:rFonts w:hint="eastAsia" w:ascii="宋体" w:hAnsi="宋体" w:cs="宋体"/>
          <w:sz w:val="24"/>
        </w:rPr>
        <w:t>。</w:t>
      </w:r>
    </w:p>
    <w:p>
      <w:pPr>
        <w:pStyle w:val="5"/>
        <w:adjustRightInd w:val="0"/>
        <w:snapToGrid w:val="0"/>
        <w:spacing w:line="500" w:lineRule="exact"/>
        <w:jc w:val="both"/>
        <w:rPr>
          <w:rFonts w:ascii="宋体" w:hAnsi="宋体" w:eastAsia="宋体" w:cs="宋体"/>
          <w:b/>
          <w:bCs/>
          <w:sz w:val="24"/>
          <w:szCs w:val="24"/>
        </w:rPr>
      </w:pPr>
      <w:r>
        <w:rPr>
          <w:rFonts w:hint="eastAsia" w:ascii="宋体" w:hAnsi="宋体" w:eastAsia="宋体" w:cs="宋体"/>
          <w:sz w:val="24"/>
          <w:szCs w:val="24"/>
        </w:rPr>
        <w:t>3.评审过程的保密与公正</w:t>
      </w:r>
    </w:p>
    <w:bookmarkEnd w:id="85"/>
    <w:bookmarkEnd w:id="86"/>
    <w:bookmarkEnd w:id="87"/>
    <w:p>
      <w:pPr>
        <w:adjustRightInd w:val="0"/>
        <w:snapToGrid w:val="0"/>
        <w:spacing w:line="500" w:lineRule="exact"/>
        <w:ind w:firstLine="600" w:firstLineChars="250"/>
        <w:rPr>
          <w:rFonts w:ascii="宋体" w:hAnsi="宋体" w:cs="宋体"/>
          <w:bCs/>
          <w:sz w:val="24"/>
        </w:rPr>
      </w:pPr>
      <w:r>
        <w:rPr>
          <w:rFonts w:hint="eastAsia" w:ascii="宋体" w:hAnsi="宋体" w:cs="宋体"/>
          <w:sz w:val="24"/>
        </w:rPr>
        <w:t>3.1</w:t>
      </w:r>
      <w:r>
        <w:rPr>
          <w:rFonts w:hint="eastAsia" w:ascii="宋体" w:hAnsi="宋体" w:cs="宋体"/>
          <w:bCs/>
          <w:sz w:val="24"/>
        </w:rPr>
        <w:t>公开开启后，直至向入围的供应商授予框架协议时止，凡是与审查、澄清、评价和比较响应的有关资料以及授标建议等，采购人、评委、招标代理均不得向供应商或与评审无关的其他人员透露。</w:t>
      </w:r>
    </w:p>
    <w:p>
      <w:pPr>
        <w:adjustRightInd w:val="0"/>
        <w:snapToGrid w:val="0"/>
        <w:spacing w:line="500" w:lineRule="exact"/>
        <w:ind w:firstLine="600" w:firstLineChars="250"/>
        <w:rPr>
          <w:rFonts w:ascii="宋体" w:hAnsi="宋体" w:cs="宋体"/>
          <w:sz w:val="24"/>
        </w:rPr>
      </w:pPr>
      <w:r>
        <w:rPr>
          <w:rFonts w:hint="eastAsia" w:ascii="宋体" w:hAnsi="宋体" w:cs="宋体"/>
          <w:sz w:val="24"/>
        </w:rPr>
        <w:t>3.2在评审过程中，供应商不得以任何行为影响评审过程，否则其响应文件将被作为无效响应文件。</w:t>
      </w:r>
    </w:p>
    <w:p>
      <w:pPr>
        <w:adjustRightInd w:val="0"/>
        <w:snapToGrid w:val="0"/>
        <w:spacing w:line="500" w:lineRule="exact"/>
        <w:ind w:firstLine="600" w:firstLineChars="250"/>
        <w:rPr>
          <w:rFonts w:ascii="宋体" w:hAnsi="宋体" w:cs="宋体"/>
          <w:sz w:val="24"/>
        </w:rPr>
      </w:pPr>
      <w:r>
        <w:rPr>
          <w:rFonts w:hint="eastAsia" w:ascii="宋体" w:hAnsi="宋体" w:cs="宋体"/>
          <w:sz w:val="24"/>
        </w:rPr>
        <w:t>3.3在评审期间，招标代理将设专门人员与供应商联系。</w:t>
      </w:r>
    </w:p>
    <w:p>
      <w:pPr>
        <w:adjustRightInd w:val="0"/>
        <w:snapToGrid w:val="0"/>
        <w:spacing w:line="500" w:lineRule="exact"/>
        <w:ind w:firstLine="600" w:firstLineChars="250"/>
        <w:rPr>
          <w:rFonts w:ascii="宋体" w:hAnsi="宋体" w:cs="宋体"/>
          <w:sz w:val="24"/>
        </w:rPr>
      </w:pPr>
      <w:r>
        <w:rPr>
          <w:rFonts w:hint="eastAsia" w:ascii="宋体" w:hAnsi="宋体" w:cs="宋体"/>
          <w:sz w:val="24"/>
        </w:rPr>
        <w:t>3.4 招标代理和评审委员会不向未入围的供应商解释未入围原因，也不公布评审过程中的相关细节。</w:t>
      </w:r>
    </w:p>
    <w:p>
      <w:pPr>
        <w:adjustRightInd w:val="0"/>
        <w:snapToGrid w:val="0"/>
        <w:spacing w:line="500" w:lineRule="exact"/>
        <w:ind w:firstLine="600" w:firstLineChars="250"/>
        <w:rPr>
          <w:rFonts w:ascii="宋体" w:hAnsi="宋体" w:cs="宋体"/>
          <w:sz w:val="24"/>
        </w:rPr>
      </w:pPr>
      <w:r>
        <w:rPr>
          <w:rFonts w:hint="eastAsia" w:ascii="宋体" w:hAnsi="宋体" w:cs="宋体"/>
          <w:sz w:val="24"/>
        </w:rPr>
        <w:t>3.5 采用综合评分法的项目，公布评审结果时一并公布所有供应商的评审得分及排序情况。</w:t>
      </w:r>
    </w:p>
    <w:p>
      <w:pPr>
        <w:pStyle w:val="5"/>
        <w:adjustRightInd w:val="0"/>
        <w:snapToGrid w:val="0"/>
        <w:spacing w:line="500" w:lineRule="exact"/>
        <w:jc w:val="both"/>
        <w:rPr>
          <w:rFonts w:ascii="宋体" w:hAnsi="宋体" w:eastAsia="宋体" w:cs="宋体"/>
          <w:b/>
          <w:bCs/>
          <w:sz w:val="24"/>
          <w:szCs w:val="24"/>
        </w:rPr>
      </w:pPr>
      <w:bookmarkStart w:id="88" w:name="_Toc513029232"/>
      <w:bookmarkStart w:id="89" w:name="_Toc20823304"/>
      <w:bookmarkStart w:id="90" w:name="_Toc16938548"/>
      <w:r>
        <w:rPr>
          <w:rFonts w:hint="eastAsia" w:ascii="宋体" w:hAnsi="宋体" w:eastAsia="宋体" w:cs="宋体"/>
          <w:sz w:val="24"/>
          <w:szCs w:val="24"/>
        </w:rPr>
        <w:t>4.响应的澄清</w:t>
      </w:r>
      <w:bookmarkEnd w:id="88"/>
      <w:bookmarkEnd w:id="89"/>
      <w:bookmarkEnd w:id="90"/>
    </w:p>
    <w:p>
      <w:pPr>
        <w:adjustRightInd w:val="0"/>
        <w:snapToGrid w:val="0"/>
        <w:spacing w:line="500" w:lineRule="exact"/>
        <w:ind w:firstLine="480" w:firstLineChars="200"/>
        <w:rPr>
          <w:rFonts w:ascii="宋体" w:hAnsi="宋体" w:cs="宋体"/>
          <w:sz w:val="24"/>
        </w:rPr>
      </w:pPr>
      <w:r>
        <w:rPr>
          <w:rFonts w:hint="eastAsia" w:ascii="宋体" w:hAnsi="宋体" w:cs="宋体"/>
          <w:sz w:val="24"/>
        </w:rPr>
        <w:t>4.1评审期间，为有助于对响应文件的审查、评价和比较，评委会有权以腾讯会议形式要求供应商对其响应文件进行澄清，但并非对每个供应商都作澄清要求。</w:t>
      </w:r>
    </w:p>
    <w:p>
      <w:pPr>
        <w:adjustRightInd w:val="0"/>
        <w:snapToGrid w:val="0"/>
        <w:spacing w:line="500" w:lineRule="exact"/>
        <w:ind w:firstLine="480"/>
        <w:rPr>
          <w:rFonts w:ascii="宋体" w:hAnsi="宋体" w:cs="宋体"/>
          <w:sz w:val="24"/>
        </w:rPr>
      </w:pPr>
      <w:r>
        <w:rPr>
          <w:rFonts w:hint="eastAsia" w:ascii="宋体" w:hAnsi="宋体" w:cs="宋体"/>
          <w:sz w:val="24"/>
        </w:rPr>
        <w:t>4.2接到评委会澄清要求的供应商应派人按评委会规定的时间和格式在“腾讯会议”中做出澄清，澄清的内容作为响应文件的补充部分，但响应的价格和实质性的内容不得做任何更改。</w:t>
      </w:r>
    </w:p>
    <w:p>
      <w:pPr>
        <w:adjustRightInd w:val="0"/>
        <w:snapToGrid w:val="0"/>
        <w:spacing w:line="500" w:lineRule="exact"/>
        <w:ind w:firstLine="480"/>
        <w:rPr>
          <w:rFonts w:ascii="宋体" w:hAnsi="宋体" w:cs="宋体"/>
          <w:sz w:val="24"/>
        </w:rPr>
      </w:pPr>
      <w:r>
        <w:rPr>
          <w:rFonts w:hint="eastAsia" w:ascii="宋体" w:hAnsi="宋体" w:cs="宋体"/>
          <w:sz w:val="24"/>
        </w:rPr>
        <w:t>4.3 接到评委会澄清要求的供应商如未按规定做出澄清，其风险由供应商自行承担。</w:t>
      </w:r>
    </w:p>
    <w:p>
      <w:pPr>
        <w:pStyle w:val="5"/>
        <w:adjustRightInd w:val="0"/>
        <w:snapToGrid w:val="0"/>
        <w:spacing w:line="500" w:lineRule="exact"/>
        <w:jc w:val="both"/>
        <w:rPr>
          <w:rFonts w:ascii="宋体" w:hAnsi="宋体" w:eastAsia="宋体" w:cs="宋体"/>
          <w:b/>
          <w:bCs/>
          <w:sz w:val="24"/>
          <w:szCs w:val="24"/>
        </w:rPr>
      </w:pPr>
      <w:bookmarkStart w:id="91" w:name="_Toc16938549"/>
      <w:bookmarkStart w:id="92" w:name="_Toc20823305"/>
      <w:bookmarkStart w:id="93" w:name="_Toc513029233"/>
      <w:r>
        <w:rPr>
          <w:rFonts w:hint="eastAsia" w:ascii="宋体" w:hAnsi="宋体" w:eastAsia="宋体" w:cs="宋体"/>
          <w:sz w:val="24"/>
          <w:szCs w:val="24"/>
        </w:rPr>
        <w:t>5对响应文件的初审</w:t>
      </w:r>
      <w:bookmarkEnd w:id="91"/>
      <w:bookmarkEnd w:id="92"/>
      <w:bookmarkEnd w:id="93"/>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5.1</w:t>
      </w:r>
      <w:r>
        <w:rPr>
          <w:rFonts w:hint="eastAsia" w:ascii="宋体" w:hAnsi="宋体" w:cs="宋体"/>
          <w:bCs/>
          <w:sz w:val="24"/>
        </w:rPr>
        <w:t>响应文件初审分为资格审查和符合性审查。</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5.1.1 资格审查：依据法律法规和征集文件的规定，由采购人对响应文件中的资格证明文件进行审查。资格审查的结论，采购人以书面形式向评委会进行反馈。</w:t>
      </w:r>
    </w:p>
    <w:p>
      <w:pPr>
        <w:adjustRightInd w:val="0"/>
        <w:snapToGrid w:val="0"/>
        <w:spacing w:line="500" w:lineRule="exact"/>
        <w:ind w:firstLine="480" w:firstLineChars="200"/>
        <w:rPr>
          <w:rFonts w:ascii="宋体" w:hAnsi="宋体" w:cs="宋体"/>
          <w:bCs/>
          <w:sz w:val="24"/>
          <w:lang w:eastAsia="zh-Hans"/>
        </w:rPr>
      </w:pPr>
      <w:r>
        <w:rPr>
          <w:rFonts w:hint="eastAsia" w:ascii="宋体" w:hAnsi="宋体" w:cs="宋体"/>
          <w:bCs/>
          <w:sz w:val="24"/>
        </w:rPr>
        <w:t>接受联合体的项目，两个以上的自然人、法人或者其他组织组成一个联合体，以一个供应商的身份共同参加政府采购活动的,联合体成员中任何一方存在不良信用记录的，视同联合体存在不良应用记录。</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5.1.2 符合性审查：依据征集文件的规定，由评委会从响应文件的有效性、完整性和对征集文件的响应程度进行审查，以确定是否对征集文件的实质性要求作出响应。</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5.1.3 未通过资格审查或符合性审查的供应商，招标代理将在</w:t>
      </w:r>
      <w:r>
        <w:rPr>
          <w:rFonts w:hint="eastAsia" w:ascii="宋体" w:hAnsi="宋体" w:cs="宋体"/>
          <w:sz w:val="24"/>
        </w:rPr>
        <w:t>“腾讯会议”</w:t>
      </w:r>
      <w:r>
        <w:rPr>
          <w:rFonts w:hint="eastAsia" w:ascii="宋体" w:hAnsi="宋体" w:cs="宋体"/>
          <w:bCs/>
          <w:sz w:val="24"/>
        </w:rPr>
        <w:t>中告知未通过资格审查或符合性审查的原因，评审结束后，招标代理将不再告知未通过资格审查或符合性审查的原因。</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5.2在详细评审之前，评委会将首先审查每份响应文件是否实质性响应了征集文件的要求。实质性响应应该是与征集文件要求的全部条款、条件和规格相符，没有重大偏离或保留的响应。</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所谓重大偏离或保留是指与征集文件规定的实质性要求存在负偏离，或者在实质上与征集文件不一致，而且限制了合同中买方和见证方的权利或供应商的义务，纠正这些偏离或保留将会对其他实质性响应要求的供应商的竞争地位产生不公正的影响。重大偏离的认定需经过评委会以少数服从多数的原则作出结论。</w:t>
      </w:r>
      <w:r>
        <w:rPr>
          <w:rFonts w:hint="eastAsia" w:ascii="宋体" w:hAnsi="宋体" w:cs="宋体"/>
          <w:bCs/>
          <w:sz w:val="24"/>
        </w:rPr>
        <w:t>评委决定响应文件的响应性只根据响应文件本身的内容，而不寻求外部的证据。</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5.3</w:t>
      </w:r>
      <w:r>
        <w:rPr>
          <w:rFonts w:hint="eastAsia" w:ascii="宋体" w:hAnsi="宋体" w:cs="宋体"/>
          <w:bCs/>
          <w:sz w:val="24"/>
        </w:rPr>
        <w:t>如果响应文件实质上没有响应征集文件的要求，评委会将予以拒绝，供应商不得通过修改或撤销不合要求的偏离或保留而使其响应成为实质性响应。</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5.4</w:t>
      </w:r>
      <w:r>
        <w:rPr>
          <w:rFonts w:hint="eastAsia" w:ascii="宋体" w:hAnsi="宋体" w:cs="宋体"/>
          <w:bCs/>
          <w:sz w:val="24"/>
        </w:rPr>
        <w:t>评委会将对确定为实质性响应的</w:t>
      </w:r>
      <w:r>
        <w:rPr>
          <w:rFonts w:hint="eastAsia" w:ascii="宋体" w:hAnsi="宋体" w:cs="宋体"/>
          <w:bCs/>
          <w:sz w:val="24"/>
          <w:lang w:eastAsia="zh-Hans"/>
        </w:rPr>
        <w:t>文件</w:t>
      </w:r>
      <w:r>
        <w:rPr>
          <w:rFonts w:hint="eastAsia" w:ascii="宋体" w:hAnsi="宋体" w:cs="宋体"/>
          <w:bCs/>
          <w:sz w:val="24"/>
        </w:rPr>
        <w:t>进行进一步审核，看其是否有计算上或累加上的算术错误，修正错误的原则如下：</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（1）响应文件中开启一览表内容与响应文件中相应内容不一致的，以开启一览表为准。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（2）大写金额和小写金额不一致的，以大写金额为准。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（3）单价金额小数点或者百分比有明显错位的，以开启一览表的总价为准，并修改单价。</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（4）总价金额与按单价汇总金额不一致的，以单价金额计算结果为准。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同时出现两种以上错误的，按照前款规定的顺序修正。</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5.5</w:t>
      </w:r>
      <w:r>
        <w:rPr>
          <w:rFonts w:hint="eastAsia" w:ascii="宋体" w:hAnsi="宋体" w:cs="宋体"/>
          <w:bCs/>
          <w:sz w:val="24"/>
        </w:rPr>
        <w:t>评委会将按上述修正错误的方法调整响应文件中的响应报价，并通过“</w:t>
      </w:r>
      <w:r>
        <w:rPr>
          <w:rFonts w:hint="eastAsia" w:ascii="宋体" w:hAnsi="宋体" w:cs="宋体"/>
          <w:sz w:val="24"/>
        </w:rPr>
        <w:t>腾讯会议”</w:t>
      </w:r>
      <w:r>
        <w:rPr>
          <w:rFonts w:hint="eastAsia" w:ascii="宋体" w:hAnsi="宋体" w:cs="宋体"/>
          <w:bCs/>
          <w:sz w:val="24"/>
        </w:rPr>
        <w:t>告知供应商，调整后的价格应对供应商具有约束力。如果供应商不接受修正后的价格，则其响应将被拒绝。</w:t>
      </w:r>
    </w:p>
    <w:p>
      <w:pPr>
        <w:adjustRightInd w:val="0"/>
        <w:snapToGrid w:val="0"/>
        <w:spacing w:line="500" w:lineRule="exact"/>
        <w:ind w:firstLine="480" w:firstLineChars="200"/>
        <w:rPr>
          <w:rFonts w:ascii="宋体" w:hAnsi="宋体" w:cs="宋体"/>
          <w:bCs/>
          <w:sz w:val="24"/>
        </w:rPr>
      </w:pPr>
      <w:r>
        <w:rPr>
          <w:rFonts w:hint="eastAsia" w:ascii="宋体" w:hAnsi="宋体" w:cs="宋体"/>
          <w:sz w:val="24"/>
        </w:rPr>
        <w:t>5.6</w:t>
      </w:r>
      <w:r>
        <w:rPr>
          <w:rFonts w:hint="eastAsia" w:ascii="宋体" w:hAnsi="宋体" w:cs="宋体"/>
          <w:bCs/>
          <w:sz w:val="24"/>
        </w:rPr>
        <w:t>评委会将允许修正响应文件中不构成重大偏离的、微小的、非正规的、不一致的或不规则的地方，但这些修改不能影响任何供应商相应的名次排列。</w:t>
      </w:r>
    </w:p>
    <w:p>
      <w:pPr>
        <w:adjustRightInd w:val="0"/>
        <w:snapToGrid w:val="0"/>
        <w:spacing w:line="500" w:lineRule="exact"/>
        <w:ind w:firstLine="420"/>
        <w:rPr>
          <w:rFonts w:ascii="宋体" w:hAnsi="宋体" w:cs="宋体"/>
          <w:sz w:val="24"/>
        </w:rPr>
      </w:pPr>
      <w:bookmarkStart w:id="94" w:name="_Toc513029234"/>
      <w:bookmarkStart w:id="95" w:name="_Toc16938550"/>
      <w:bookmarkStart w:id="96" w:name="_Toc20823306"/>
      <w:r>
        <w:rPr>
          <w:rFonts w:hint="eastAsia" w:ascii="宋体" w:hAnsi="宋体" w:cs="宋体"/>
          <w:sz w:val="24"/>
        </w:rPr>
        <w:t>5.7供应商在开、评审全过程中应保持通讯畅通，并安排专人与招标代理及评审委员会联系。</w:t>
      </w:r>
    </w:p>
    <w:bookmarkEnd w:id="94"/>
    <w:bookmarkEnd w:id="95"/>
    <w:bookmarkEnd w:id="96"/>
    <w:p>
      <w:pPr>
        <w:pStyle w:val="5"/>
        <w:adjustRightInd w:val="0"/>
        <w:snapToGrid w:val="0"/>
        <w:spacing w:line="500" w:lineRule="exact"/>
        <w:jc w:val="both"/>
        <w:rPr>
          <w:rFonts w:ascii="宋体" w:hAnsi="宋体" w:eastAsia="宋体" w:cs="宋体"/>
          <w:b/>
          <w:bCs/>
          <w:sz w:val="24"/>
          <w:szCs w:val="24"/>
        </w:rPr>
      </w:pPr>
      <w:r>
        <w:rPr>
          <w:rFonts w:hint="eastAsia" w:ascii="宋体" w:hAnsi="宋体" w:eastAsia="宋体" w:cs="宋体"/>
          <w:sz w:val="24"/>
          <w:szCs w:val="24"/>
        </w:rPr>
        <w:t>6.无效响应条款和废标条款</w:t>
      </w:r>
    </w:p>
    <w:p>
      <w:pPr>
        <w:adjustRightInd w:val="0"/>
        <w:snapToGrid w:val="0"/>
        <w:spacing w:line="500" w:lineRule="exact"/>
        <w:ind w:firstLine="480" w:firstLineChars="200"/>
        <w:rPr>
          <w:rFonts w:ascii="宋体" w:hAnsi="宋体" w:cs="宋体"/>
          <w:bCs/>
          <w:sz w:val="24"/>
        </w:rPr>
      </w:pPr>
      <w:bookmarkStart w:id="97" w:name="_Toc16938551"/>
      <w:bookmarkStart w:id="98" w:name="_Toc513029235"/>
      <w:bookmarkStart w:id="99" w:name="_Toc20823307"/>
      <w:r>
        <w:rPr>
          <w:rFonts w:hint="eastAsia" w:ascii="宋体" w:hAnsi="宋体" w:cs="宋体"/>
          <w:bCs/>
          <w:sz w:val="24"/>
        </w:rPr>
        <w:t>6.1无效响应条款</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 1 供应商未按照征集文件要求递交响应文件的。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6.1.2同一供应商提交两个（含两个）以上不同的响应报价的。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6.1.3供应商不具备征集文件中规定资格要求的。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6.14供应商的报价超过了采购预算或最高限价的。</w:t>
      </w:r>
    </w:p>
    <w:p>
      <w:pPr>
        <w:adjustRightInd w:val="0"/>
        <w:snapToGrid w:val="0"/>
        <w:spacing w:line="500" w:lineRule="exact"/>
        <w:ind w:firstLine="480" w:firstLineChars="200"/>
        <w:rPr>
          <w:rFonts w:ascii="宋体" w:hAnsi="宋体" w:cs="宋体"/>
          <w:bCs/>
          <w:i/>
          <w:sz w:val="24"/>
          <w:u w:val="single"/>
        </w:rPr>
      </w:pPr>
      <w:r>
        <w:rPr>
          <w:rFonts w:hint="eastAsia" w:ascii="宋体" w:hAnsi="宋体" w:cs="宋体"/>
          <w:bCs/>
          <w:sz w:val="24"/>
        </w:rPr>
        <w:t>6.1.5未通过符合性检查的。</w:t>
      </w:r>
    </w:p>
    <w:p>
      <w:pPr>
        <w:adjustRightInd w:val="0"/>
        <w:snapToGrid w:val="0"/>
        <w:spacing w:line="500" w:lineRule="exact"/>
        <w:ind w:firstLine="360" w:firstLineChars="150"/>
        <w:rPr>
          <w:rFonts w:ascii="宋体" w:hAnsi="宋体" w:cs="宋体"/>
          <w:bCs/>
          <w:i/>
          <w:color w:val="FF0000"/>
          <w:sz w:val="24"/>
          <w:u w:val="single"/>
        </w:rPr>
      </w:pPr>
      <w:r>
        <w:rPr>
          <w:rFonts w:hint="eastAsia" w:ascii="宋体" w:hAnsi="宋体" w:cs="宋体"/>
          <w:bCs/>
          <w:sz w:val="24"/>
        </w:rPr>
        <w:t xml:space="preserve"> 6.1.6不符合征集文件中规定的其他实质性要求和条件的。</w:t>
      </w:r>
    </w:p>
    <w:p>
      <w:pPr>
        <w:adjustRightInd w:val="0"/>
        <w:snapToGrid w:val="0"/>
        <w:spacing w:line="500" w:lineRule="exact"/>
        <w:ind w:firstLine="480" w:firstLineChars="200"/>
        <w:rPr>
          <w:rFonts w:ascii="宋体" w:hAnsi="宋体" w:cs="宋体"/>
          <w:bCs/>
          <w:color w:val="FF0000"/>
          <w:sz w:val="24"/>
        </w:rPr>
      </w:pPr>
      <w:r>
        <w:rPr>
          <w:rFonts w:hint="eastAsia" w:ascii="宋体" w:hAnsi="宋体" w:cs="宋体"/>
          <w:bCs/>
          <w:sz w:val="24"/>
        </w:rPr>
        <w:t>6.1.7 供应商被 “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6.1.8 响应文件含有采购人不能接受的附加条件的。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 9评审委员会认为供应商的报价明显低于其他通过符合性审查供应商的报价，有可能影响产品质量或者不能诚信履约的，将通过</w:t>
      </w:r>
      <w:r>
        <w:rPr>
          <w:rFonts w:hint="eastAsia" w:ascii="宋体" w:hAnsi="宋体" w:cs="宋体"/>
          <w:sz w:val="24"/>
        </w:rPr>
        <w:t>”腾讯会议”</w:t>
      </w:r>
      <w:r>
        <w:rPr>
          <w:rFonts w:hint="eastAsia" w:ascii="宋体" w:hAnsi="宋体" w:cs="宋体"/>
          <w:bCs/>
          <w:sz w:val="24"/>
        </w:rPr>
        <w:t>要求其在合理的时间内提供说明，必要时提交相关证明材料；供应商不能证明其报价合理性的，评审委员会应当将其作为无效响应处理。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6.1.10本项目采购产品被财政部、国家发改委、生态环境部等列入“节能产品品目清单”、“环境标志产品品目清单”强制采购范围，而供应商所响应产品不在强制采购范围内的。（响应产品如属于政府强制采购节能产品品目清单范围内，响应文件中必须提供国家确定的认证机构出具的、处于有效期之内的该节能产品认证证书图片）</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6.1.11供应商的商务技术部分得分相差悬殊，评审委员会认为得分畸低者没有实质性响应的。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6.1.12其他法律、法规及本征集文件规定的属无效响应的情形。</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6.2废标条款：</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6.2.1符合专业条件的供应商或者对征集文件作实质响应的供应商不足三家的。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6.2.2出现影响采购公正的违法、违规行为的。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6.2.3因重大变故，采购任务取消的。</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6.2.4评审委员会认定征集文件存在歧义、重大缺陷导致评审工作无法进行。</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6.3 提交响应文件截止时间结束后参加响应的供应商不足三家的处理：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6.3.1如出现提交响应文件截止时间结束后参加响应的供应商或者在评审期间对征集文件做出实质响应的供应商不足三家情况，按政府采购相关规定执行。</w:t>
      </w:r>
    </w:p>
    <w:bookmarkEnd w:id="97"/>
    <w:bookmarkEnd w:id="98"/>
    <w:bookmarkEnd w:id="99"/>
    <w:p>
      <w:pPr>
        <w:pStyle w:val="4"/>
        <w:adjustRightInd w:val="0"/>
        <w:snapToGrid w:val="0"/>
        <w:spacing w:before="0" w:after="0" w:line="500" w:lineRule="exact"/>
        <w:rPr>
          <w:rFonts w:ascii="宋体" w:hAnsi="宋体" w:cs="宋体"/>
          <w:sz w:val="24"/>
          <w:szCs w:val="24"/>
        </w:rPr>
      </w:pPr>
      <w:bookmarkStart w:id="100" w:name="_Toc120614219"/>
      <w:r>
        <w:rPr>
          <w:rFonts w:hint="eastAsia" w:ascii="宋体" w:hAnsi="宋体" w:cs="宋体"/>
          <w:sz w:val="24"/>
          <w:szCs w:val="24"/>
        </w:rPr>
        <w:t>（六）定标</w:t>
      </w:r>
      <w:bookmarkEnd w:id="100"/>
    </w:p>
    <w:p>
      <w:pPr>
        <w:pStyle w:val="5"/>
        <w:adjustRightInd w:val="0"/>
        <w:snapToGrid w:val="0"/>
        <w:spacing w:line="500" w:lineRule="exact"/>
        <w:jc w:val="both"/>
        <w:rPr>
          <w:rFonts w:ascii="宋体" w:hAnsi="宋体" w:eastAsia="宋体" w:cs="宋体"/>
          <w:b/>
          <w:sz w:val="24"/>
          <w:szCs w:val="24"/>
        </w:rPr>
      </w:pPr>
      <w:bookmarkStart w:id="101" w:name="_Toc16938554"/>
      <w:bookmarkStart w:id="102" w:name="_Toc20823310"/>
      <w:r>
        <w:rPr>
          <w:rFonts w:hint="eastAsia" w:ascii="宋体" w:hAnsi="宋体" w:eastAsia="宋体" w:cs="宋体"/>
          <w:sz w:val="24"/>
          <w:szCs w:val="24"/>
        </w:rPr>
        <w:t>1.确定</w:t>
      </w:r>
      <w:bookmarkEnd w:id="101"/>
      <w:bookmarkEnd w:id="102"/>
      <w:r>
        <w:rPr>
          <w:rFonts w:hint="eastAsia" w:ascii="宋体" w:hAnsi="宋体" w:eastAsia="宋体" w:cs="宋体"/>
          <w:sz w:val="24"/>
          <w:szCs w:val="24"/>
        </w:rPr>
        <w:t>入围单位</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 xml:space="preserve">1.1入围候选人的选取原则和数量见征集文件第四部分规定。 </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1.2采购人授权评委会在入围候选人中直接确定入围供应商。</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1.3</w:t>
      </w:r>
      <w:r>
        <w:rPr>
          <w:rFonts w:hint="eastAsia" w:ascii="宋体" w:hAnsi="宋体" w:cs="宋体"/>
          <w:sz w:val="24"/>
        </w:rPr>
        <w:t>招标代理将在“南通市财政局官网”发布入围结果公告，公告期限为1个工作日。</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1.4若有充分证据证明，入围供应商出现下列情况之一的，一经查实，将被取消入围资格：</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1.4.1提供虚假材料谋取入围的。</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1.4.2向采购人、招标代理行贿或者提供其他不正当利益的。</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1.4.3恶意竞争，响应总报价明显低于其自身合理成本且又无法提供证明的。</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1.4.4属于本文件规定的无效条件，但在评审过程中又未被评委会发现的。</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1.4.5与采购人或者其他供应商恶意串通的。</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1.4.6采取不正当手段诋毁、排挤其他供应商的。</w:t>
      </w:r>
    </w:p>
    <w:p>
      <w:pPr>
        <w:adjustRightInd w:val="0"/>
        <w:snapToGrid w:val="0"/>
        <w:spacing w:line="500" w:lineRule="exact"/>
        <w:ind w:firstLine="480" w:firstLineChars="200"/>
        <w:rPr>
          <w:rFonts w:ascii="宋体" w:hAnsi="宋体" w:cs="宋体"/>
          <w:sz w:val="24"/>
        </w:rPr>
      </w:pPr>
      <w:bookmarkStart w:id="103" w:name="_Toc200451960"/>
      <w:r>
        <w:rPr>
          <w:rFonts w:hint="eastAsia" w:ascii="宋体" w:hAnsi="宋体" w:cs="宋体"/>
          <w:sz w:val="24"/>
        </w:rPr>
        <w:t>1.5.</w:t>
      </w:r>
      <w:r>
        <w:rPr>
          <w:rFonts w:hint="eastAsia" w:ascii="宋体" w:hAnsi="宋体" w:cs="宋体"/>
          <w:kern w:val="0"/>
          <w:sz w:val="24"/>
        </w:rPr>
        <w:t>有下列情形之一的，视为供应商串通响应，响应无效：</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1.5.1不同供应商的响应文件由同一单位或者个人编制；</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1.5.2不同供应商委托同一单位或者个人办理响应事宜；</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1.5.3不同供应商的响应文件载明的项目管理成员或者联系人员为同一人；</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1.5.4不同供应商的响应文件异常一致或者响应报价呈规律性差异；</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1.5.5不同供应商的响应文件相互混装。</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1.6入围供应商有下列情形之一，尚未签订框架协议的，取消其入围资格；已经签订框架协议的，解除与其签订的框架协议：</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1.6.1恶意串通谋取入围或者合同成交的；</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1.6.2提供虚假材料谋取入围或者合同成交的；</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1.6.3无正当理由拒不接受合同授予的；</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1.6.4不履行合同义务或者履行合同义务不符合约定，经采购人请求履行后仍不履行或者仍未按约定履行的；</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1.6.5框架协议有效期内，因违法行为被禁止或限制参加政府采购活动的；</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1.6.6框架协议约定的其他情形。</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被取消入围资格或者被解除框架协议的供应商不得参加同一封闭式框架协议补充征集，或者重新申请加入同一开放式框架协议。</w:t>
      </w:r>
    </w:p>
    <w:p>
      <w:pPr>
        <w:pStyle w:val="5"/>
        <w:adjustRightInd w:val="0"/>
        <w:snapToGrid w:val="0"/>
        <w:spacing w:line="500" w:lineRule="exact"/>
        <w:jc w:val="both"/>
        <w:rPr>
          <w:rFonts w:ascii="宋体" w:hAnsi="宋体" w:eastAsia="宋体" w:cs="宋体"/>
          <w:b/>
          <w:sz w:val="24"/>
          <w:szCs w:val="24"/>
        </w:rPr>
      </w:pPr>
      <w:r>
        <w:rPr>
          <w:rFonts w:hint="eastAsia" w:ascii="宋体" w:hAnsi="宋体" w:eastAsia="宋体" w:cs="宋体"/>
          <w:sz w:val="24"/>
          <w:szCs w:val="24"/>
        </w:rPr>
        <w:t>2.质疑处理</w:t>
      </w:r>
      <w:bookmarkEnd w:id="103"/>
    </w:p>
    <w:p>
      <w:pPr>
        <w:adjustRightInd w:val="0"/>
        <w:snapToGrid w:val="0"/>
        <w:spacing w:line="500" w:lineRule="exact"/>
        <w:ind w:firstLine="480" w:firstLineChars="200"/>
        <w:rPr>
          <w:rFonts w:ascii="宋体" w:hAnsi="宋体" w:cs="宋体"/>
          <w:sz w:val="24"/>
        </w:rPr>
      </w:pPr>
      <w:r>
        <w:rPr>
          <w:rFonts w:hint="eastAsia" w:ascii="宋体" w:hAnsi="宋体" w:cs="宋体"/>
          <w:sz w:val="24"/>
        </w:rPr>
        <w:t>2.1 提出质疑的供应商应当是参与所质疑项目采购活动的供应商。潜在供应商依法获取其可质疑的采购文件的，可以对采购文件提出质疑。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2.2供应商认为采购文件、采购过程和采购结果使自己的权益受到损害的，可以在知道或应知其权益受到损害之日起七个工作日内，以书面形式向招标代理或采购人提出质疑。上述应知其权益受到损害之日，是指：</w:t>
      </w:r>
    </w:p>
    <w:p>
      <w:pPr>
        <w:adjustRightInd w:val="0"/>
        <w:snapToGrid w:val="0"/>
        <w:spacing w:line="500" w:lineRule="exact"/>
        <w:ind w:firstLine="480" w:firstLineChars="200"/>
        <w:rPr>
          <w:rFonts w:ascii="宋体" w:hAnsi="宋体" w:cs="宋体"/>
          <w:kern w:val="0"/>
          <w:sz w:val="24"/>
        </w:rPr>
      </w:pPr>
      <w:r>
        <w:rPr>
          <w:rFonts w:hint="eastAsia" w:ascii="宋体" w:hAnsi="宋体" w:cs="宋体"/>
          <w:sz w:val="24"/>
        </w:rPr>
        <w:t>2.2.1</w:t>
      </w:r>
      <w:r>
        <w:rPr>
          <w:rFonts w:hint="eastAsia" w:ascii="宋体" w:hAnsi="宋体" w:cs="宋体"/>
          <w:kern w:val="0"/>
          <w:sz w:val="24"/>
        </w:rPr>
        <w:t>对可以质疑的采购文件提出质疑的，为收到采购文件之日或者采购文件公告期限届满之日；</w:t>
      </w:r>
      <w:r>
        <w:rPr>
          <w:rFonts w:hint="eastAsia" w:ascii="宋体" w:hAnsi="宋体" w:cs="宋体"/>
          <w:kern w:val="0"/>
          <w:sz w:val="24"/>
        </w:rPr>
        <w:br w:type="textWrapping"/>
      </w:r>
      <w:r>
        <w:rPr>
          <w:rFonts w:hint="eastAsia" w:ascii="宋体" w:hAnsi="宋体" w:cs="宋体"/>
          <w:kern w:val="0"/>
          <w:sz w:val="24"/>
        </w:rPr>
        <w:t>　　</w:t>
      </w:r>
      <w:r>
        <w:rPr>
          <w:rFonts w:hint="eastAsia" w:ascii="宋体" w:hAnsi="宋体" w:cs="宋体"/>
          <w:sz w:val="24"/>
        </w:rPr>
        <w:t>2.2.2</w:t>
      </w:r>
      <w:r>
        <w:rPr>
          <w:rFonts w:hint="eastAsia" w:ascii="宋体" w:hAnsi="宋体" w:cs="宋体"/>
          <w:kern w:val="0"/>
          <w:sz w:val="24"/>
        </w:rPr>
        <w:t>对采购过程提出质疑的，为各采购程序环节结束之日；</w:t>
      </w:r>
      <w:r>
        <w:rPr>
          <w:rFonts w:hint="eastAsia" w:ascii="宋体" w:hAnsi="宋体" w:cs="宋体"/>
          <w:kern w:val="0"/>
          <w:sz w:val="24"/>
        </w:rPr>
        <w:br w:type="textWrapping"/>
      </w:r>
      <w:r>
        <w:rPr>
          <w:rFonts w:hint="eastAsia" w:ascii="宋体" w:hAnsi="宋体" w:cs="宋体"/>
          <w:kern w:val="0"/>
          <w:sz w:val="24"/>
        </w:rPr>
        <w:t>　　</w:t>
      </w:r>
      <w:r>
        <w:rPr>
          <w:rFonts w:hint="eastAsia" w:ascii="宋体" w:hAnsi="宋体" w:cs="宋体"/>
          <w:sz w:val="24"/>
        </w:rPr>
        <w:t>2.2.3</w:t>
      </w:r>
      <w:r>
        <w:rPr>
          <w:rFonts w:hint="eastAsia" w:ascii="宋体" w:hAnsi="宋体" w:cs="宋体"/>
          <w:kern w:val="0"/>
          <w:sz w:val="24"/>
        </w:rPr>
        <w:t>对入围结果提出质疑的，为入围结果公告期限届满之日。</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供应商应当在法定质疑期内一次性提出针对同一采购程序环节的质疑。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2.3质疑函必须按照本征集文件中《质疑函范本》要求的格式和内容进行填写。供应商如组成联合体参加响应，则《质疑函范本》中要求签字、盖章、加盖公章之处，联合体各方均须按要求签字、盖章、加盖公章。</w:t>
      </w:r>
    </w:p>
    <w:p>
      <w:pPr>
        <w:adjustRightInd w:val="0"/>
        <w:snapToGrid w:val="0"/>
        <w:spacing w:line="500" w:lineRule="exact"/>
        <w:ind w:firstLine="480" w:firstLineChars="200"/>
        <w:rPr>
          <w:rFonts w:ascii="宋体" w:hAnsi="宋体" w:cs="宋体"/>
          <w:b/>
          <w:color w:val="FF0000"/>
          <w:sz w:val="24"/>
        </w:rPr>
      </w:pPr>
      <w:r>
        <w:rPr>
          <w:rFonts w:hint="eastAsia" w:ascii="宋体" w:hAnsi="宋体" w:cs="宋体"/>
          <w:sz w:val="24"/>
        </w:rPr>
        <w:t>2.4对采购方式、征集文件中项目需求、供应商资格条件、评审方法和评审标准、资格审查结果等应当由采购人答复的质疑，请向采购人提出，由采购人负责答复。供应商对其他事项的质疑，请向招标代理提出，由招标代理负责答复。</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供应商可向采购人或招标代理以书面形式提交质疑函。为进一步落实疫情防控措施，建议供应商尽量通过邮寄方式提交质疑。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采购人质疑接收人及联系方式，见征集文件第一章。</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2.5 以下情形的质疑不予受理</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2.5.1 内容不符合《政府采购质疑和投诉办法》第十二条规定的质疑。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2.5.2 超出政府采购法定期限的质疑。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2.5.3 未参加响应活动的供应商或在响应活动中自身权益未受到损害的供应商所提出的质疑。</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2.5.4供应商组成联合体参加响应，联合体中任何一方或多方未按要求签字、盖章、加盖公章的质疑。</w:t>
      </w:r>
    </w:p>
    <w:p>
      <w:pPr>
        <w:adjustRightInd w:val="0"/>
        <w:snapToGrid w:val="0"/>
        <w:spacing w:line="500" w:lineRule="exact"/>
        <w:ind w:firstLine="468" w:firstLineChars="195"/>
        <w:rPr>
          <w:rFonts w:ascii="宋体" w:hAnsi="宋体" w:cs="宋体"/>
          <w:sz w:val="24"/>
        </w:rPr>
      </w:pPr>
      <w:r>
        <w:rPr>
          <w:rFonts w:hint="eastAsia" w:ascii="宋体" w:hAnsi="宋体" w:cs="宋体"/>
          <w:sz w:val="24"/>
        </w:rPr>
        <w:t>2.6 供应商提出书面质疑必须有理、有据，不得捏造事实、提供虚假材料进行恶意质疑。否则，一经查实，招标代理有权依据政府采购的有关规定，报请政府采购监管部门对该供应商进行相应的行政处罚和记录该供应商的失信信息。</w:t>
      </w:r>
    </w:p>
    <w:p>
      <w:pPr>
        <w:pStyle w:val="5"/>
        <w:adjustRightInd w:val="0"/>
        <w:snapToGrid w:val="0"/>
        <w:spacing w:line="500" w:lineRule="exact"/>
        <w:jc w:val="both"/>
        <w:rPr>
          <w:rFonts w:ascii="宋体" w:hAnsi="宋体" w:eastAsia="宋体" w:cs="宋体"/>
          <w:b/>
          <w:sz w:val="24"/>
          <w:szCs w:val="24"/>
        </w:rPr>
      </w:pPr>
      <w:r>
        <w:rPr>
          <w:rFonts w:hint="eastAsia" w:ascii="宋体" w:hAnsi="宋体" w:eastAsia="宋体" w:cs="宋体"/>
          <w:sz w:val="24"/>
          <w:szCs w:val="24"/>
        </w:rPr>
        <w:t>3入围通知书</w:t>
      </w:r>
    </w:p>
    <w:p>
      <w:pPr>
        <w:numPr>
          <w:ilvl w:val="0"/>
          <w:numId w:val="3"/>
        </w:numPr>
        <w:adjustRightInd w:val="0"/>
        <w:snapToGrid w:val="0"/>
        <w:spacing w:line="500" w:lineRule="exact"/>
        <w:ind w:firstLine="240" w:firstLineChars="100"/>
        <w:rPr>
          <w:rFonts w:ascii="宋体" w:hAnsi="宋体" w:cs="宋体"/>
          <w:sz w:val="24"/>
        </w:rPr>
      </w:pPr>
      <w:r>
        <w:rPr>
          <w:rFonts w:hint="eastAsia" w:ascii="宋体" w:hAnsi="宋体" w:cs="宋体"/>
          <w:sz w:val="24"/>
        </w:rPr>
        <w:t>l</w:t>
      </w:r>
      <w:r>
        <w:rPr>
          <w:rFonts w:hint="eastAsia" w:ascii="宋体" w:hAnsi="宋体" w:cs="宋体"/>
          <w:b/>
          <w:sz w:val="24"/>
        </w:rPr>
        <w:t xml:space="preserve"> </w:t>
      </w:r>
      <w:r>
        <w:rPr>
          <w:rFonts w:hint="eastAsia" w:ascii="宋体" w:hAnsi="宋体" w:cs="宋体"/>
          <w:sz w:val="24"/>
        </w:rPr>
        <w:t>入围结果确定后，招标代理将向入围供应商发出入围通知书。</w:t>
      </w:r>
    </w:p>
    <w:p>
      <w:pPr>
        <w:adjustRightInd w:val="0"/>
        <w:snapToGrid w:val="0"/>
        <w:spacing w:line="500" w:lineRule="exact"/>
        <w:ind w:firstLine="240" w:firstLineChars="100"/>
        <w:rPr>
          <w:rFonts w:ascii="宋体" w:hAnsi="宋体" w:cs="宋体"/>
          <w:sz w:val="24"/>
        </w:rPr>
      </w:pPr>
      <w:r>
        <w:rPr>
          <w:rFonts w:hint="eastAsia" w:ascii="宋体" w:hAnsi="宋体" w:cs="宋体"/>
          <w:sz w:val="24"/>
        </w:rPr>
        <w:t>3.2入围通知书将是合同的一个组成部分。对采购人和入围供应商均具有法律效力。入围通知书发出后，采购人改变入围结果的，或者入围供应商放弃中标项目的，应当依法承担法律责任。</w:t>
      </w:r>
    </w:p>
    <w:p>
      <w:pPr>
        <w:pStyle w:val="4"/>
        <w:adjustRightInd w:val="0"/>
        <w:snapToGrid w:val="0"/>
        <w:spacing w:before="0" w:after="0" w:line="500" w:lineRule="exact"/>
        <w:rPr>
          <w:rFonts w:ascii="宋体" w:hAnsi="宋体" w:cs="宋体"/>
          <w:sz w:val="24"/>
          <w:szCs w:val="24"/>
        </w:rPr>
      </w:pPr>
      <w:bookmarkStart w:id="104" w:name="_Toc120614220"/>
      <w:bookmarkStart w:id="105" w:name="_Toc16938552"/>
      <w:bookmarkStart w:id="106" w:name="_Toc20823308"/>
      <w:bookmarkStart w:id="107" w:name="_Toc513029236"/>
      <w:r>
        <w:rPr>
          <w:rFonts w:hint="eastAsia" w:ascii="宋体" w:hAnsi="宋体" w:cs="宋体"/>
          <w:sz w:val="24"/>
          <w:szCs w:val="24"/>
        </w:rPr>
        <w:t>（七）</w:t>
      </w:r>
      <w:bookmarkEnd w:id="104"/>
      <w:r>
        <w:rPr>
          <w:rFonts w:hint="eastAsia" w:ascii="宋体" w:hAnsi="宋体" w:cs="宋体"/>
          <w:sz w:val="24"/>
          <w:szCs w:val="24"/>
        </w:rPr>
        <w:t>签订框架协议</w:t>
      </w:r>
    </w:p>
    <w:bookmarkEnd w:id="105"/>
    <w:bookmarkEnd w:id="106"/>
    <w:bookmarkEnd w:id="107"/>
    <w:p>
      <w:pPr>
        <w:pStyle w:val="5"/>
        <w:adjustRightInd w:val="0"/>
        <w:snapToGrid w:val="0"/>
        <w:spacing w:line="500" w:lineRule="exact"/>
        <w:jc w:val="both"/>
        <w:rPr>
          <w:rFonts w:ascii="宋体" w:hAnsi="宋体" w:eastAsia="宋体" w:cs="宋体"/>
          <w:kern w:val="2"/>
          <w:sz w:val="24"/>
          <w:szCs w:val="24"/>
        </w:rPr>
      </w:pPr>
      <w:bookmarkStart w:id="108" w:name="_Toc16938553"/>
      <w:bookmarkStart w:id="109" w:name="_Toc513029237"/>
      <w:bookmarkStart w:id="110" w:name="_Toc20823309"/>
      <w:r>
        <w:rPr>
          <w:rFonts w:hint="eastAsia" w:ascii="宋体" w:hAnsi="宋体" w:eastAsia="宋体" w:cs="宋体"/>
          <w:kern w:val="2"/>
          <w:sz w:val="24"/>
          <w:szCs w:val="24"/>
        </w:rPr>
        <w:t>1.签订框架协议</w:t>
      </w:r>
    </w:p>
    <w:p>
      <w:pPr>
        <w:adjustRightInd w:val="0"/>
        <w:snapToGrid w:val="0"/>
        <w:spacing w:line="500" w:lineRule="exact"/>
        <w:ind w:firstLine="480" w:firstLineChars="200"/>
        <w:rPr>
          <w:rFonts w:ascii="宋体" w:hAnsi="宋体" w:cs="宋体"/>
          <w:sz w:val="24"/>
        </w:rPr>
      </w:pPr>
      <w:r>
        <w:rPr>
          <w:rFonts w:hint="eastAsia" w:ascii="宋体" w:hAnsi="宋体" w:cs="宋体"/>
          <w:bCs/>
          <w:sz w:val="24"/>
        </w:rPr>
        <w:t>1</w:t>
      </w:r>
      <w:r>
        <w:rPr>
          <w:rFonts w:hint="eastAsia" w:ascii="宋体" w:hAnsi="宋体" w:cs="宋体"/>
          <w:sz w:val="24"/>
        </w:rPr>
        <w:t>.l入围供应商应当在入围通知书发出之日起15日内，按照征集文件确定的事项与采购人签订框架协议。</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1.2框架协议不得对征集文件确定的事项以及入围供应商的响应文件作实质性修改。</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1.3签订框架协议后，入围供应商不得将相关服务进行转包。未经采购人同意，入围供应商也不得采用分包的形式履行合同，否则采购人有权终止合同，入围供应商的履约保证金将不予退还。</w:t>
      </w:r>
    </w:p>
    <w:bookmarkEnd w:id="108"/>
    <w:bookmarkEnd w:id="109"/>
    <w:bookmarkEnd w:id="110"/>
    <w:p>
      <w:pPr>
        <w:pStyle w:val="5"/>
        <w:adjustRightInd w:val="0"/>
        <w:snapToGrid w:val="0"/>
        <w:spacing w:line="500" w:lineRule="exact"/>
        <w:ind w:firstLine="480" w:firstLineChars="200"/>
        <w:jc w:val="both"/>
        <w:rPr>
          <w:rFonts w:ascii="宋体" w:hAnsi="宋体" w:eastAsia="宋体" w:cs="宋体"/>
          <w:bCs/>
          <w:kern w:val="2"/>
          <w:sz w:val="24"/>
          <w:szCs w:val="24"/>
        </w:rPr>
      </w:pPr>
      <w:r>
        <w:rPr>
          <w:rFonts w:hint="eastAsia" w:ascii="宋体" w:hAnsi="宋体" w:eastAsia="宋体" w:cs="宋体"/>
          <w:bCs/>
          <w:kern w:val="2"/>
          <w:sz w:val="24"/>
          <w:szCs w:val="24"/>
        </w:rPr>
        <w:t>1.4封闭式框架协议入围供应商无正当理由，不得主动放弃入围资格或者退出框架协议。</w:t>
      </w:r>
    </w:p>
    <w:p>
      <w:pPr>
        <w:pStyle w:val="5"/>
        <w:adjustRightInd w:val="0"/>
        <w:snapToGrid w:val="0"/>
        <w:spacing w:line="500" w:lineRule="exact"/>
        <w:jc w:val="both"/>
        <w:rPr>
          <w:rFonts w:ascii="宋体" w:hAnsi="宋体" w:eastAsia="宋体" w:cs="宋体"/>
          <w:bCs/>
          <w:kern w:val="2"/>
          <w:sz w:val="24"/>
          <w:szCs w:val="24"/>
        </w:rPr>
      </w:pPr>
      <w:r>
        <w:rPr>
          <w:rFonts w:hint="eastAsia" w:ascii="宋体" w:hAnsi="宋体" w:eastAsia="宋体" w:cs="宋体"/>
          <w:bCs/>
          <w:kern w:val="2"/>
          <w:sz w:val="24"/>
          <w:szCs w:val="24"/>
        </w:rPr>
        <w:t>2.采购合同的授予</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2.1确定第二阶段成交供应商的方式：直接选定。</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2.2 由采购人依据入围产品价格、质量以及服务便利性、用户评价等因素，从第一阶段入围供应商中直接选定，确定第二阶段成交供应商，并与其签订采购合同。</w:t>
      </w:r>
    </w:p>
    <w:p>
      <w:pPr>
        <w:rPr>
          <w:rFonts w:ascii="宋体" w:hAnsi="宋体" w:cs="宋体"/>
          <w:bCs/>
          <w:sz w:val="36"/>
          <w:szCs w:val="36"/>
        </w:rPr>
      </w:pPr>
    </w:p>
    <w:p>
      <w:pPr>
        <w:pStyle w:val="3"/>
        <w:rPr>
          <w:rFonts w:ascii="宋体" w:hAnsi="宋体" w:cs="宋体"/>
        </w:rPr>
      </w:pPr>
    </w:p>
    <w:p>
      <w:pPr>
        <w:adjustRightInd w:val="0"/>
        <w:snapToGrid w:val="0"/>
        <w:spacing w:line="500" w:lineRule="exact"/>
        <w:outlineLvl w:val="0"/>
        <w:rPr>
          <w:rFonts w:ascii="宋体" w:hAnsi="宋体" w:cs="宋体"/>
          <w:bCs/>
          <w:sz w:val="36"/>
          <w:szCs w:val="36"/>
        </w:rPr>
      </w:pPr>
    </w:p>
    <w:p>
      <w:pPr>
        <w:jc w:val="left"/>
        <w:rPr>
          <w:rFonts w:ascii="宋体" w:hAnsi="宋体" w:cs="宋体"/>
          <w:bCs/>
          <w:sz w:val="36"/>
          <w:szCs w:val="36"/>
        </w:rPr>
      </w:pPr>
      <w:r>
        <w:rPr>
          <w:rFonts w:hint="eastAsia" w:ascii="宋体" w:hAnsi="宋体" w:cs="宋体"/>
          <w:bCs/>
          <w:sz w:val="36"/>
          <w:szCs w:val="36"/>
        </w:rPr>
        <w:br w:type="page"/>
      </w:r>
    </w:p>
    <w:p>
      <w:pPr>
        <w:adjustRightInd w:val="0"/>
        <w:snapToGrid w:val="0"/>
        <w:spacing w:line="500" w:lineRule="exact"/>
        <w:jc w:val="center"/>
        <w:outlineLvl w:val="0"/>
        <w:rPr>
          <w:rFonts w:ascii="宋体" w:hAnsi="宋体" w:cs="宋体"/>
          <w:bCs/>
          <w:sz w:val="36"/>
          <w:szCs w:val="36"/>
        </w:rPr>
      </w:pPr>
      <w:r>
        <w:rPr>
          <w:rFonts w:hint="eastAsia" w:ascii="宋体" w:hAnsi="宋体" w:cs="宋体"/>
          <w:bCs/>
          <w:sz w:val="36"/>
          <w:szCs w:val="36"/>
        </w:rPr>
        <w:t>第三部分  项目需求</w:t>
      </w:r>
    </w:p>
    <w:p>
      <w:pPr>
        <w:adjustRightInd w:val="0"/>
        <w:snapToGrid w:val="0"/>
        <w:spacing w:line="360" w:lineRule="auto"/>
        <w:ind w:firstLine="482" w:firstLineChars="200"/>
        <w:rPr>
          <w:rFonts w:ascii="宋体" w:hAnsi="宋体" w:cs="宋体"/>
          <w:b/>
          <w:bCs/>
          <w:sz w:val="24"/>
        </w:rPr>
      </w:pP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供应商不能简单照搬照抄征集文件项目需求说明中的技术、商务要求，必须作实事求是的响应。如供应商提供的货物和服务同采购人提出的项目需求说明中的技术、商务要求不同的，必须在《商务部分正负偏离表》和《技术部分正负偏离表》上明示</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其内容包含：</w:t>
      </w:r>
    </w:p>
    <w:p>
      <w:pPr>
        <w:widowControl/>
        <w:numPr>
          <w:ilvl w:val="0"/>
          <w:numId w:val="4"/>
        </w:numPr>
        <w:spacing w:line="360" w:lineRule="auto"/>
        <w:jc w:val="left"/>
        <w:rPr>
          <w:rFonts w:ascii="宋体" w:hAnsi="宋体" w:cs="宋体"/>
          <w:b/>
          <w:bCs/>
          <w:sz w:val="24"/>
        </w:rPr>
      </w:pPr>
      <w:r>
        <w:rPr>
          <w:rFonts w:hint="eastAsia" w:ascii="宋体" w:hAnsi="宋体" w:cs="宋体"/>
          <w:b/>
          <w:bCs/>
          <w:sz w:val="24"/>
        </w:rPr>
        <w:t>采购标的需实现的功能或者目标, 以及为落实政府采购政策需满足的要求</w:t>
      </w:r>
    </w:p>
    <w:p>
      <w:pPr>
        <w:spacing w:line="360" w:lineRule="auto"/>
        <w:ind w:firstLine="480" w:firstLineChars="200"/>
        <w:rPr>
          <w:rFonts w:ascii="宋体" w:hAnsi="宋体" w:cs="宋体"/>
          <w:bCs/>
          <w:sz w:val="24"/>
        </w:rPr>
      </w:pPr>
      <w:r>
        <w:rPr>
          <w:rFonts w:hint="eastAsia" w:ascii="宋体" w:hAnsi="宋体" w:cs="宋体"/>
          <w:bCs/>
          <w:sz w:val="24"/>
        </w:rPr>
        <w:t>本项目采用框架协议采购，通过公开征集程序，每标段</w:t>
      </w:r>
      <w:r>
        <w:rPr>
          <w:rFonts w:hint="eastAsia" w:ascii="宋体" w:hAnsi="宋体" w:cs="宋体"/>
          <w:bCs/>
          <w:sz w:val="24"/>
          <w:lang w:eastAsia="zh-Hans"/>
        </w:rPr>
        <w:t>实质性响应</w:t>
      </w:r>
      <w:r>
        <w:rPr>
          <w:rFonts w:hint="eastAsia" w:ascii="宋体" w:hAnsi="宋体" w:cs="宋体"/>
          <w:bCs/>
          <w:sz w:val="24"/>
        </w:rPr>
        <w:t>的投标单位13家及以上的，入围10家；每标段</w:t>
      </w:r>
      <w:r>
        <w:rPr>
          <w:rFonts w:hint="eastAsia" w:ascii="宋体" w:hAnsi="宋体" w:cs="宋体"/>
          <w:bCs/>
          <w:sz w:val="24"/>
          <w:lang w:eastAsia="zh-Hans"/>
        </w:rPr>
        <w:t>实质性响应</w:t>
      </w:r>
      <w:r>
        <w:rPr>
          <w:rFonts w:hint="eastAsia" w:ascii="宋体" w:hAnsi="宋体" w:cs="宋体"/>
          <w:bCs/>
          <w:sz w:val="24"/>
        </w:rPr>
        <w:t>的投标单位13家以下的，入围80%（四舍五入）。</w:t>
      </w:r>
    </w:p>
    <w:p>
      <w:pPr>
        <w:spacing w:line="360" w:lineRule="auto"/>
        <w:ind w:firstLine="480" w:firstLineChars="200"/>
        <w:rPr>
          <w:rFonts w:ascii="宋体" w:hAnsi="宋体" w:cs="宋体"/>
          <w:bCs/>
          <w:sz w:val="24"/>
        </w:rPr>
      </w:pPr>
      <w:r>
        <w:rPr>
          <w:rFonts w:hint="eastAsia" w:ascii="宋体" w:hAnsi="宋体" w:cs="宋体"/>
          <w:bCs/>
          <w:sz w:val="24"/>
        </w:rPr>
        <w:t>确定第二阶段成交供应商的方式：直接选定。</w:t>
      </w:r>
    </w:p>
    <w:p>
      <w:pPr>
        <w:spacing w:line="360" w:lineRule="auto"/>
        <w:ind w:firstLine="480" w:firstLineChars="200"/>
        <w:rPr>
          <w:rFonts w:ascii="宋体" w:hAnsi="宋体" w:cs="宋体"/>
          <w:sz w:val="24"/>
        </w:rPr>
      </w:pPr>
      <w:r>
        <w:rPr>
          <w:rFonts w:hint="eastAsia" w:ascii="宋体" w:hAnsi="宋体" w:cs="宋体"/>
          <w:bCs/>
          <w:sz w:val="24"/>
        </w:rPr>
        <w:t>第二阶段成交供应商应当由征集人根据入围供应商服务质量、服务评价等因素，从第一阶段入围供应商中通过直接选定。</w:t>
      </w:r>
    </w:p>
    <w:p>
      <w:pPr>
        <w:numPr>
          <w:ilvl w:val="0"/>
          <w:numId w:val="5"/>
        </w:numPr>
        <w:spacing w:line="360" w:lineRule="auto"/>
        <w:rPr>
          <w:rFonts w:ascii="宋体" w:hAnsi="宋体" w:cs="宋体"/>
          <w:sz w:val="24"/>
        </w:rPr>
      </w:pPr>
      <w:r>
        <w:rPr>
          <w:rFonts w:hint="eastAsia" w:ascii="宋体" w:hAnsi="宋体" w:cs="宋体"/>
          <w:b/>
          <w:bCs/>
          <w:sz w:val="24"/>
        </w:rPr>
        <w:t>采购标的需执行的国家相关标准、行业标准、地方标准或者其他标准、规范</w:t>
      </w:r>
    </w:p>
    <w:p>
      <w:pPr>
        <w:pStyle w:val="2"/>
        <w:spacing w:line="360" w:lineRule="auto"/>
        <w:rPr>
          <w:rFonts w:ascii="宋体" w:hAnsi="宋体" w:cs="宋体"/>
          <w:b/>
          <w:bCs/>
          <w:sz w:val="24"/>
        </w:rPr>
      </w:pPr>
      <w:r>
        <w:rPr>
          <w:rFonts w:hint="eastAsia" w:ascii="宋体" w:hAnsi="宋体" w:cs="宋体"/>
          <w:sz w:val="24"/>
        </w:rPr>
        <w:t xml:space="preserve">   </w:t>
      </w:r>
      <w:r>
        <w:rPr>
          <w:rFonts w:hint="eastAsia" w:ascii="宋体" w:hAnsi="宋体" w:cs="宋体"/>
          <w:bCs/>
          <w:sz w:val="24"/>
        </w:rPr>
        <w:t xml:space="preserve"> 按国家相关标准及行业标准执行。</w:t>
      </w:r>
    </w:p>
    <w:p>
      <w:pPr>
        <w:numPr>
          <w:ilvl w:val="0"/>
          <w:numId w:val="5"/>
        </w:numPr>
        <w:spacing w:line="360" w:lineRule="auto"/>
        <w:rPr>
          <w:rFonts w:ascii="宋体" w:hAnsi="宋体" w:cs="宋体"/>
          <w:b/>
          <w:bCs/>
          <w:sz w:val="24"/>
        </w:rPr>
      </w:pPr>
      <w:r>
        <w:rPr>
          <w:rFonts w:hint="eastAsia" w:ascii="宋体" w:hAnsi="宋体" w:cs="宋体"/>
          <w:b/>
          <w:bCs/>
          <w:sz w:val="24"/>
        </w:rPr>
        <w:t>采购标的需满足的质量、安全、技术规格、物理特性等要求</w:t>
      </w:r>
    </w:p>
    <w:p>
      <w:pPr>
        <w:pStyle w:val="2"/>
        <w:spacing w:line="360" w:lineRule="auto"/>
        <w:ind w:firstLine="480" w:firstLineChars="200"/>
        <w:rPr>
          <w:rFonts w:ascii="宋体" w:hAnsi="宋体" w:cs="宋体"/>
          <w:bCs/>
          <w:sz w:val="24"/>
        </w:rPr>
      </w:pPr>
      <w:r>
        <w:rPr>
          <w:rFonts w:hint="eastAsia" w:ascii="宋体" w:hAnsi="宋体" w:cs="宋体"/>
          <w:bCs/>
          <w:sz w:val="24"/>
        </w:rPr>
        <w:t>服务内容</w:t>
      </w:r>
    </w:p>
    <w:p>
      <w:pPr>
        <w:pStyle w:val="2"/>
        <w:spacing w:line="360" w:lineRule="auto"/>
        <w:ind w:firstLine="480" w:firstLineChars="200"/>
        <w:rPr>
          <w:rFonts w:ascii="宋体" w:hAnsi="宋体" w:cs="宋体"/>
          <w:sz w:val="24"/>
        </w:rPr>
      </w:pPr>
      <w:r>
        <w:rPr>
          <w:rFonts w:hint="eastAsia" w:ascii="宋体" w:hAnsi="宋体" w:cs="宋体"/>
          <w:sz w:val="24"/>
        </w:rPr>
        <w:t>标段一：为市本级行政事业单位提供评估服务，按要求出具评估报告。</w:t>
      </w:r>
    </w:p>
    <w:p>
      <w:pPr>
        <w:pStyle w:val="2"/>
        <w:spacing w:line="360" w:lineRule="auto"/>
        <w:ind w:firstLine="480" w:firstLineChars="200"/>
        <w:rPr>
          <w:rFonts w:ascii="宋体" w:hAnsi="宋体" w:cs="宋体"/>
          <w:sz w:val="24"/>
        </w:rPr>
      </w:pPr>
      <w:r>
        <w:rPr>
          <w:rFonts w:hint="eastAsia" w:ascii="宋体" w:hAnsi="宋体" w:cs="宋体"/>
          <w:sz w:val="24"/>
        </w:rPr>
        <w:t>标段二：为市本级行政事业单位提供线下拍卖（租）服务和线上竞价辅助服务。包括但不限于拍前项目移交、项目策划、拍卖（租）方案的编制、拍卖（租）文件编制、信息披露、报名登记（法规政策另有规定的从其规定）、组织拍卖会、咨询看样、标的物成交后移交及其他相关后续服务。入围供应商应积极配合服务对象制定详细的项目计划和时间计划，按时完成拍卖服务，并确保资产的保值增值。</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采购标的数量、采购项目交付或者实施的时间和地点</w:t>
      </w:r>
    </w:p>
    <w:p>
      <w:pPr>
        <w:tabs>
          <w:tab w:val="left" w:pos="0"/>
        </w:tabs>
        <w:snapToGrid w:val="0"/>
        <w:spacing w:before="120" w:after="120" w:line="360" w:lineRule="auto"/>
        <w:ind w:firstLine="480" w:firstLineChars="200"/>
        <w:rPr>
          <w:rFonts w:ascii="宋体" w:hAnsi="宋体" w:cs="宋体"/>
          <w:b/>
          <w:bCs/>
          <w:sz w:val="24"/>
        </w:rPr>
      </w:pPr>
      <w:r>
        <w:rPr>
          <w:rFonts w:hint="eastAsia" w:ascii="宋体" w:hAnsi="宋体" w:cs="宋体"/>
          <w:sz w:val="24"/>
        </w:rPr>
        <w:t xml:space="preserve">   以委托人实际委托的项目为准</w:t>
      </w:r>
      <w:r>
        <w:rPr>
          <w:rFonts w:hint="eastAsia" w:ascii="宋体" w:hAnsi="宋体" w:cs="宋体"/>
          <w:bCs/>
          <w:sz w:val="24"/>
        </w:rPr>
        <w:t>。</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采购标的需满足的服务标准、期限、效率等要求</w:t>
      </w:r>
    </w:p>
    <w:p>
      <w:pPr>
        <w:spacing w:line="360" w:lineRule="auto"/>
        <w:ind w:firstLine="480" w:firstLineChars="200"/>
        <w:outlineLvl w:val="1"/>
        <w:rPr>
          <w:rFonts w:ascii="宋体" w:hAnsi="宋体" w:cs="宋体"/>
          <w:bCs/>
          <w:sz w:val="24"/>
        </w:rPr>
      </w:pPr>
      <w:r>
        <w:rPr>
          <w:rFonts w:hint="eastAsia" w:ascii="宋体" w:hAnsi="宋体" w:cs="宋体"/>
          <w:bCs/>
          <w:sz w:val="24"/>
        </w:rPr>
        <w:t>1.本项目</w:t>
      </w:r>
      <w:r>
        <w:rPr>
          <w:rFonts w:hint="eastAsia" w:ascii="宋体" w:hAnsi="宋体" w:cs="宋体"/>
          <w:b/>
          <w:bCs/>
          <w:sz w:val="24"/>
        </w:rPr>
        <w:t>框架协议期</w:t>
      </w:r>
      <w:r>
        <w:rPr>
          <w:rFonts w:hint="eastAsia" w:ascii="宋体" w:hAnsi="宋体" w:cs="宋体"/>
          <w:bCs/>
          <w:sz w:val="24"/>
        </w:rPr>
        <w:t>为两年（即24个月）。</w:t>
      </w:r>
    </w:p>
    <w:p>
      <w:pPr>
        <w:spacing w:line="360" w:lineRule="auto"/>
        <w:ind w:firstLine="480" w:firstLineChars="200"/>
        <w:outlineLvl w:val="1"/>
        <w:rPr>
          <w:rFonts w:ascii="宋体" w:hAnsi="宋体" w:cs="宋体"/>
          <w:bCs/>
          <w:sz w:val="24"/>
        </w:rPr>
      </w:pPr>
      <w:r>
        <w:rPr>
          <w:rFonts w:hint="eastAsia" w:ascii="宋体" w:hAnsi="宋体" w:cs="宋体"/>
          <w:bCs/>
          <w:sz w:val="24"/>
        </w:rPr>
        <w:t>2.入围供应商须接受采购人对其履行框架协议和采购合同情况的反馈与评价，反馈与评价将作为第二阶段直接选定成交供应商的参考；协议期内经采购人评价不合格的，采购人有权清退该供应商，且该供应商不得参与采购人组织的下一轮采购。</w:t>
      </w:r>
    </w:p>
    <w:p>
      <w:pPr>
        <w:spacing w:line="360" w:lineRule="auto"/>
        <w:ind w:firstLine="480" w:firstLineChars="200"/>
        <w:outlineLvl w:val="1"/>
        <w:rPr>
          <w:rFonts w:ascii="宋体" w:hAnsi="宋体" w:cs="宋体"/>
          <w:bCs/>
          <w:sz w:val="24"/>
        </w:rPr>
      </w:pPr>
      <w:r>
        <w:rPr>
          <w:rFonts w:hint="eastAsia" w:ascii="宋体" w:hAnsi="宋体" w:cs="宋体"/>
          <w:bCs/>
          <w:sz w:val="24"/>
        </w:rPr>
        <w:t>3.除剩余入围供应商不足入围供应商总数70%且影响框架协议执行的情形外，框架协议有效期内，采购人不得补充征集供应商。</w:t>
      </w:r>
    </w:p>
    <w:p>
      <w:pPr>
        <w:pStyle w:val="2"/>
        <w:spacing w:line="360" w:lineRule="auto"/>
        <w:ind w:firstLine="480" w:firstLineChars="200"/>
        <w:rPr>
          <w:rFonts w:ascii="宋体" w:hAnsi="宋体" w:cs="宋体"/>
          <w:sz w:val="24"/>
        </w:rPr>
      </w:pPr>
      <w:r>
        <w:rPr>
          <w:rFonts w:hint="eastAsia" w:ascii="宋体" w:hAnsi="宋体" w:cs="宋体"/>
          <w:bCs/>
          <w:sz w:val="24"/>
        </w:rPr>
        <w:t>4.采购人补充征集供应商的，补充征集的条件、程序、评审方法和淘汰比例与本次征集相同。补充征集遵守原框架协议的有效期。补充征集期间，原框架协议继续履行。</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采购标的验收标准</w:t>
      </w:r>
    </w:p>
    <w:p>
      <w:pPr>
        <w:pStyle w:val="2"/>
        <w:spacing w:line="360" w:lineRule="auto"/>
        <w:ind w:firstLine="480" w:firstLineChars="200"/>
        <w:rPr>
          <w:rFonts w:ascii="宋体" w:hAnsi="宋体" w:cs="宋体"/>
          <w:bCs/>
          <w:sz w:val="24"/>
        </w:rPr>
      </w:pPr>
      <w:r>
        <w:rPr>
          <w:rFonts w:hint="eastAsia" w:ascii="宋体" w:hAnsi="宋体" w:cs="宋体"/>
          <w:bCs/>
          <w:sz w:val="24"/>
        </w:rPr>
        <w:t>在采购人规定的时间内完成服务并经采购人审核通过。</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采购标的其他技术、服务等要求</w:t>
      </w:r>
    </w:p>
    <w:p>
      <w:pPr>
        <w:pStyle w:val="2"/>
        <w:spacing w:line="360" w:lineRule="auto"/>
        <w:ind w:firstLine="482" w:firstLineChars="200"/>
        <w:rPr>
          <w:rFonts w:ascii="宋体" w:hAnsi="宋体" w:cs="宋体"/>
          <w:b/>
          <w:bCs/>
          <w:sz w:val="24"/>
        </w:rPr>
      </w:pPr>
      <w:r>
        <w:rPr>
          <w:rFonts w:hint="eastAsia" w:ascii="宋体" w:hAnsi="宋体" w:cs="宋体"/>
          <w:b/>
          <w:bCs/>
          <w:sz w:val="24"/>
        </w:rPr>
        <w:t>（一）服务要求</w:t>
      </w:r>
    </w:p>
    <w:p>
      <w:pPr>
        <w:pStyle w:val="2"/>
        <w:spacing w:line="360" w:lineRule="auto"/>
        <w:ind w:firstLine="482" w:firstLineChars="200"/>
        <w:rPr>
          <w:rFonts w:ascii="宋体" w:hAnsi="宋体" w:cs="宋体"/>
          <w:sz w:val="24"/>
        </w:rPr>
      </w:pPr>
      <w:r>
        <w:rPr>
          <w:rFonts w:hint="eastAsia" w:ascii="宋体" w:hAnsi="宋体" w:cs="宋体"/>
          <w:b/>
          <w:bCs/>
          <w:sz w:val="24"/>
        </w:rPr>
        <w:t>标段一：</w:t>
      </w:r>
      <w:r>
        <w:rPr>
          <w:rFonts w:hint="eastAsia" w:ascii="宋体" w:hAnsi="宋体" w:cs="宋体"/>
          <w:sz w:val="24"/>
        </w:rPr>
        <w:t>（1）入围供应商在接到委托人的评估服务要求时，须无条件响应，并于被指定起5日内签订委托评估合同。（2）入围供应商应严格按照法律、法规、行业规范的要求提供评估服务，并出具完整评估报告。（3）入围供应商应当在签订合同后3日内将项目负责人及项目经办人名单报送至采购人备案，一个合同期内项目负责人不得更换，项目经办人如需更换须经采购人同意并报送更换人员名单。（4）投入本项目人员不少于5人。（5）入围供应商必须保证每次都按时保质保量完成委托人委托的业务。（6）入围供应商不得擅自将评估项目转包给第三方。</w:t>
      </w:r>
    </w:p>
    <w:p>
      <w:pPr>
        <w:pStyle w:val="2"/>
        <w:spacing w:line="360" w:lineRule="auto"/>
        <w:ind w:firstLine="482" w:firstLineChars="200"/>
        <w:rPr>
          <w:rFonts w:ascii="宋体" w:hAnsi="宋体" w:cs="宋体"/>
          <w:sz w:val="24"/>
        </w:rPr>
      </w:pPr>
      <w:r>
        <w:rPr>
          <w:rFonts w:hint="eastAsia" w:ascii="宋体" w:hAnsi="宋体" w:cs="宋体"/>
          <w:b/>
          <w:bCs/>
          <w:sz w:val="24"/>
        </w:rPr>
        <w:t>标段二：</w:t>
      </w:r>
      <w:r>
        <w:rPr>
          <w:rFonts w:hint="eastAsia" w:ascii="宋体" w:hAnsi="宋体" w:cs="宋体"/>
          <w:sz w:val="24"/>
        </w:rPr>
        <w:t>（1）入围供应商在接到委托人的拍卖（租）服务要求时，须无条件响应，并在5日内签订委托拍卖（租）合同。（2）入围供应商组织拍卖（租）工作应符合有关法律规定。（3）入围供应商应尽量配合委托人对于项目的相关要求，积极主动开展工作，出具科学、切实可行的拍卖方案。（4）入围供应商应通过各种媒体，采取多种宣传手段进行充分宣传、发布拍卖公告，公告时间不少于七天，并由专人负责接受现场咨询。（5）投入本项目人员不少于5人。（6）入围供应商不得擅自将拍卖（租）项目转包给第三方。</w:t>
      </w:r>
    </w:p>
    <w:p>
      <w:pPr>
        <w:pStyle w:val="2"/>
        <w:spacing w:line="360" w:lineRule="auto"/>
        <w:ind w:firstLine="482" w:firstLineChars="200"/>
        <w:rPr>
          <w:rFonts w:ascii="宋体" w:hAnsi="宋体" w:cs="宋体"/>
          <w:b/>
          <w:bCs/>
          <w:sz w:val="24"/>
        </w:rPr>
      </w:pPr>
      <w:r>
        <w:rPr>
          <w:rFonts w:hint="eastAsia" w:ascii="宋体" w:hAnsi="宋体" w:cs="宋体"/>
          <w:b/>
          <w:bCs/>
          <w:sz w:val="24"/>
        </w:rPr>
        <w:t>（二）其他要求</w:t>
      </w:r>
    </w:p>
    <w:p>
      <w:pPr>
        <w:pStyle w:val="2"/>
        <w:spacing w:line="360" w:lineRule="auto"/>
        <w:ind w:firstLine="480" w:firstLineChars="200"/>
        <w:rPr>
          <w:rFonts w:ascii="宋体" w:hAnsi="宋体" w:cs="宋体"/>
          <w:sz w:val="24"/>
        </w:rPr>
      </w:pPr>
      <w:r>
        <w:rPr>
          <w:rFonts w:hint="eastAsia" w:ascii="宋体" w:hAnsi="宋体" w:cs="宋体"/>
          <w:sz w:val="24"/>
        </w:rPr>
        <w:t>标段一：</w:t>
      </w:r>
    </w:p>
    <w:p>
      <w:pPr>
        <w:pStyle w:val="2"/>
        <w:spacing w:line="360" w:lineRule="auto"/>
        <w:ind w:firstLine="480" w:firstLineChars="200"/>
        <w:rPr>
          <w:rFonts w:ascii="宋体" w:hAnsi="宋体" w:cs="宋体"/>
          <w:sz w:val="24"/>
        </w:rPr>
      </w:pPr>
      <w:r>
        <w:rPr>
          <w:rFonts w:hint="eastAsia" w:ascii="宋体" w:hAnsi="宋体" w:cs="宋体"/>
          <w:sz w:val="24"/>
        </w:rPr>
        <w:t>1.开展评估</w:t>
      </w:r>
    </w:p>
    <w:p>
      <w:pPr>
        <w:pStyle w:val="2"/>
        <w:spacing w:line="360" w:lineRule="auto"/>
        <w:ind w:firstLine="480" w:firstLineChars="200"/>
        <w:rPr>
          <w:rFonts w:ascii="宋体" w:hAnsi="宋体" w:cs="宋体"/>
          <w:sz w:val="24"/>
        </w:rPr>
      </w:pPr>
      <w:r>
        <w:rPr>
          <w:rFonts w:hint="eastAsia" w:ascii="宋体" w:hAnsi="宋体" w:cs="宋体"/>
          <w:sz w:val="24"/>
        </w:rPr>
        <w:t>指定的供应商根据委托评估协议书的要求独立开展评估工作。原则上须在15个工作日内，根据国有资产管理及相关评估方法、要求完成评估，并出具书面专项评估报告，移交评估资料。</w:t>
      </w:r>
    </w:p>
    <w:p>
      <w:pPr>
        <w:pStyle w:val="2"/>
        <w:spacing w:line="360" w:lineRule="auto"/>
        <w:ind w:firstLine="480" w:firstLineChars="200"/>
        <w:rPr>
          <w:rFonts w:ascii="宋体" w:hAnsi="宋体" w:cs="宋体"/>
          <w:sz w:val="24"/>
        </w:rPr>
      </w:pPr>
      <w:r>
        <w:rPr>
          <w:rFonts w:hint="eastAsia" w:ascii="宋体" w:hAnsi="宋体" w:cs="宋体"/>
          <w:sz w:val="24"/>
        </w:rPr>
        <w:t>指定的供应商应接受国有资产行政管理部门的业务指导。对评估工作中出现重大分歧而又确需协调解决的问题，由指定的供应商提出书面意见（应附调查取证资料、建议处理方案以及相关单位意见），南通市财政局会同有关单位共同核实资料和具体情况，经研究达成处理意见，由指定的供应商在其评估报告中调整；对分歧较大影响评估进度的，由指定的供应商提出要求调整评估时间的书面申请，经南通市财政局核准后给予调整评估时间；对在评估过程中发现由于委托单位提供的送审资料不全，且由于补送资料不及时而严重影响评估进度的，由指定的供应商提出要求延长评估时间的书面申请，经委托单位核准后给予调整评估时间。</w:t>
      </w:r>
    </w:p>
    <w:p>
      <w:pPr>
        <w:pStyle w:val="2"/>
        <w:spacing w:line="360" w:lineRule="auto"/>
        <w:ind w:firstLine="480" w:firstLineChars="200"/>
        <w:rPr>
          <w:rFonts w:ascii="宋体" w:hAnsi="宋体" w:cs="宋体"/>
          <w:sz w:val="24"/>
        </w:rPr>
      </w:pPr>
      <w:r>
        <w:rPr>
          <w:rFonts w:hint="eastAsia" w:ascii="宋体" w:hAnsi="宋体" w:cs="宋体"/>
          <w:sz w:val="24"/>
        </w:rPr>
        <w:t>指定的供应商根据委托评估合同和评估项目的具体要求，依法执业、客观公正地出具专项评估报告等材料，严格履行保密义务。评估报告应有具体评估人员、指定的供应商负责人签字盖章确认的书面意见。</w:t>
      </w:r>
    </w:p>
    <w:p>
      <w:pPr>
        <w:pStyle w:val="2"/>
        <w:spacing w:line="360" w:lineRule="auto"/>
        <w:ind w:firstLine="480" w:firstLineChars="200"/>
        <w:rPr>
          <w:rFonts w:ascii="宋体" w:hAnsi="宋体" w:cs="宋体"/>
          <w:sz w:val="24"/>
        </w:rPr>
      </w:pPr>
      <w:r>
        <w:rPr>
          <w:rFonts w:hint="eastAsia" w:ascii="宋体" w:hAnsi="宋体" w:cs="宋体"/>
          <w:sz w:val="24"/>
        </w:rPr>
        <w:t>2.业务费支付</w:t>
      </w:r>
    </w:p>
    <w:p>
      <w:pPr>
        <w:pStyle w:val="2"/>
        <w:spacing w:line="360" w:lineRule="auto"/>
        <w:ind w:firstLine="480" w:firstLineChars="200"/>
        <w:rPr>
          <w:rFonts w:ascii="宋体" w:hAnsi="宋体" w:cs="宋体"/>
          <w:sz w:val="24"/>
        </w:rPr>
      </w:pPr>
      <w:r>
        <w:rPr>
          <w:rFonts w:hint="eastAsia" w:ascii="宋体" w:hAnsi="宋体" w:cs="宋体"/>
          <w:sz w:val="24"/>
        </w:rPr>
        <w:t>在完成项目委托评估服务后，由委托评估的单位根据统一费率支付评估业务费。</w:t>
      </w:r>
    </w:p>
    <w:p>
      <w:pPr>
        <w:pStyle w:val="2"/>
        <w:spacing w:line="360" w:lineRule="auto"/>
        <w:ind w:firstLine="480" w:firstLineChars="200"/>
        <w:rPr>
          <w:rFonts w:ascii="宋体" w:hAnsi="宋体" w:cs="宋体"/>
          <w:sz w:val="24"/>
        </w:rPr>
      </w:pPr>
      <w:r>
        <w:rPr>
          <w:rFonts w:hint="eastAsia" w:ascii="宋体" w:hAnsi="宋体" w:cs="宋体"/>
          <w:sz w:val="24"/>
        </w:rPr>
        <w:t>3.委托评估责任</w:t>
      </w:r>
    </w:p>
    <w:p>
      <w:pPr>
        <w:pStyle w:val="2"/>
        <w:spacing w:line="360" w:lineRule="auto"/>
        <w:ind w:firstLine="480" w:firstLineChars="200"/>
        <w:rPr>
          <w:rFonts w:ascii="宋体" w:hAnsi="宋体" w:cs="宋体"/>
          <w:sz w:val="24"/>
        </w:rPr>
      </w:pPr>
      <w:r>
        <w:rPr>
          <w:rFonts w:hint="eastAsia" w:ascii="宋体" w:hAnsi="宋体" w:cs="宋体"/>
          <w:sz w:val="24"/>
        </w:rPr>
        <w:t>指定的供应商应确保质量，按时完成评估工作。评估工作应当严格遵守国家的有关法律、法规、制度规定及有关执业规范要求。指定的供应商对评估意见的真实性、完整性、可靠性负责, 采购人或委托人不得干预评估机构工作，维护评估的独立性、公信度。评估报告只向南通市财政局和委托人提供，不得自行提供给其他单位。对提供不实或内容虚假的评估结果以及自行对外提供评估报告的，除由评估机构自行承担责任外，南通市财政局或委托人可采取必要措施终止委托，情节严重的，依法提请有关部门追究指定的供应商和相关责任人的行政及法律责任。</w:t>
      </w:r>
    </w:p>
    <w:p>
      <w:pPr>
        <w:pStyle w:val="2"/>
        <w:spacing w:line="360" w:lineRule="auto"/>
        <w:ind w:firstLine="480" w:firstLineChars="200"/>
        <w:rPr>
          <w:rFonts w:ascii="宋体" w:hAnsi="宋体" w:cs="宋体"/>
          <w:sz w:val="24"/>
        </w:rPr>
      </w:pPr>
      <w:r>
        <w:rPr>
          <w:rFonts w:hint="eastAsia" w:ascii="宋体" w:hAnsi="宋体" w:cs="宋体"/>
          <w:sz w:val="24"/>
        </w:rPr>
        <w:t>4.违约责任</w:t>
      </w:r>
    </w:p>
    <w:p>
      <w:pPr>
        <w:pStyle w:val="2"/>
        <w:spacing w:line="360" w:lineRule="auto"/>
        <w:ind w:firstLine="480" w:firstLineChars="200"/>
        <w:rPr>
          <w:rFonts w:ascii="宋体" w:hAnsi="宋体" w:cs="宋体"/>
          <w:sz w:val="24"/>
        </w:rPr>
      </w:pPr>
      <w:r>
        <w:rPr>
          <w:rFonts w:hint="eastAsia" w:ascii="宋体" w:hAnsi="宋体" w:cs="宋体"/>
          <w:sz w:val="24"/>
        </w:rPr>
        <w:t>指定的供应商未能在委托评估任务书要求的时间内（含同意延长的时间）提交评估报告视为违约。违约1次，南通市财政局在违约之日起3个月内暂停其委托评估资格；同时南通市财政局有权责令委托人将未能在规定时间内完成的项目抽回，对指定的供应商可能已发生的费用委托人不予支付；累计3次违约，南通市财政局有权终止合同，此后3年内不接受其报名。</w:t>
      </w:r>
    </w:p>
    <w:p>
      <w:pPr>
        <w:pStyle w:val="2"/>
        <w:spacing w:line="360" w:lineRule="auto"/>
        <w:ind w:firstLine="480" w:firstLineChars="200"/>
        <w:rPr>
          <w:rFonts w:ascii="宋体" w:hAnsi="宋体" w:cs="宋体"/>
          <w:sz w:val="24"/>
        </w:rPr>
      </w:pPr>
      <w:r>
        <w:rPr>
          <w:rFonts w:hint="eastAsia" w:ascii="宋体" w:hAnsi="宋体" w:cs="宋体"/>
          <w:sz w:val="24"/>
        </w:rPr>
        <w:t>擅自变更项目评估人员或出现非专业人员参与评估工作时，委托人发出书面警告，2次书面警告则视为违约一次，委托人书面通知并由南通市财政局决定在违约之日起3个月内暂停其委托评估；对在评估过程出现将委托业务外包或请非正式职工参与评估工作的，南通市财政局有权终止协议，此后3年内不接受其报名。</w:t>
      </w:r>
    </w:p>
    <w:p>
      <w:pPr>
        <w:pStyle w:val="2"/>
        <w:spacing w:line="360" w:lineRule="auto"/>
        <w:ind w:firstLine="480" w:firstLineChars="200"/>
        <w:rPr>
          <w:rFonts w:ascii="宋体" w:hAnsi="宋体" w:cs="宋体"/>
          <w:sz w:val="24"/>
        </w:rPr>
      </w:pPr>
      <w:r>
        <w:rPr>
          <w:rFonts w:hint="eastAsia" w:ascii="宋体" w:hAnsi="宋体" w:cs="宋体"/>
          <w:sz w:val="24"/>
        </w:rPr>
        <w:t>对南通市财政局复核意见未予落实，或对评估重大事项未按规定商洽、擅自处理的，南通市财政局发出书面警告，一次书面警告则视为违约一次，南通市财政局在违约之日起3个月内暂停其委托评估；对于达到质量违约规定的，指定供应商需同时承担相应违约责任。</w:t>
      </w:r>
    </w:p>
    <w:p>
      <w:pPr>
        <w:pStyle w:val="2"/>
        <w:spacing w:line="360" w:lineRule="auto"/>
        <w:ind w:firstLine="480" w:firstLineChars="200"/>
        <w:rPr>
          <w:rFonts w:ascii="宋体" w:hAnsi="宋体" w:cs="宋体"/>
          <w:sz w:val="24"/>
        </w:rPr>
      </w:pPr>
      <w:r>
        <w:rPr>
          <w:rFonts w:hint="eastAsia" w:ascii="宋体" w:hAnsi="宋体" w:cs="宋体"/>
          <w:sz w:val="24"/>
        </w:rPr>
        <w:t>5.评估资料保管</w:t>
      </w:r>
    </w:p>
    <w:p>
      <w:pPr>
        <w:pStyle w:val="2"/>
        <w:spacing w:line="360" w:lineRule="auto"/>
        <w:ind w:firstLine="480" w:firstLineChars="200"/>
        <w:rPr>
          <w:rFonts w:ascii="宋体" w:hAnsi="宋体" w:cs="宋体"/>
          <w:sz w:val="24"/>
        </w:rPr>
      </w:pPr>
      <w:r>
        <w:rPr>
          <w:rFonts w:hint="eastAsia" w:ascii="宋体" w:hAnsi="宋体" w:cs="宋体"/>
          <w:sz w:val="24"/>
        </w:rPr>
        <w:t>指定供应商应加强对评估资料的保管。指定供应商在完成项目评估后，应按国有资产行政管理部门要求对评估资料存档保管，对档案管理不善的评估机构予以警告，直至不再对其进行委托。</w:t>
      </w:r>
    </w:p>
    <w:p>
      <w:pPr>
        <w:pStyle w:val="2"/>
        <w:spacing w:line="360" w:lineRule="auto"/>
        <w:ind w:firstLine="482" w:firstLineChars="200"/>
        <w:rPr>
          <w:rFonts w:ascii="宋体" w:hAnsi="宋体" w:cs="宋体"/>
          <w:b/>
          <w:bCs/>
          <w:sz w:val="24"/>
        </w:rPr>
      </w:pPr>
      <w:r>
        <w:rPr>
          <w:rFonts w:hint="eastAsia" w:ascii="宋体" w:hAnsi="宋体" w:cs="宋体"/>
          <w:b/>
          <w:bCs/>
          <w:sz w:val="24"/>
        </w:rPr>
        <w:t>标段二：</w:t>
      </w:r>
    </w:p>
    <w:p>
      <w:pPr>
        <w:pStyle w:val="2"/>
        <w:spacing w:line="360" w:lineRule="auto"/>
        <w:ind w:firstLine="480" w:firstLineChars="200"/>
        <w:rPr>
          <w:rFonts w:ascii="宋体" w:hAnsi="宋体" w:cs="宋体"/>
          <w:sz w:val="24"/>
        </w:rPr>
      </w:pPr>
      <w:r>
        <w:rPr>
          <w:rFonts w:hint="eastAsia" w:ascii="宋体" w:hAnsi="宋体" w:cs="宋体"/>
          <w:sz w:val="24"/>
        </w:rPr>
        <w:t>1.业务费支付：项目成交后，由买受人按照统一费率支付拍卖（租）业务费。</w:t>
      </w:r>
    </w:p>
    <w:p>
      <w:pPr>
        <w:pStyle w:val="2"/>
        <w:spacing w:line="360" w:lineRule="auto"/>
        <w:ind w:firstLine="480" w:firstLineChars="200"/>
        <w:rPr>
          <w:rFonts w:ascii="宋体" w:hAnsi="宋体" w:cs="宋体"/>
          <w:sz w:val="24"/>
        </w:rPr>
      </w:pPr>
      <w:r>
        <w:rPr>
          <w:rFonts w:hint="eastAsia" w:ascii="宋体" w:hAnsi="宋体" w:cs="宋体"/>
          <w:sz w:val="24"/>
        </w:rPr>
        <w:t>2.入围供应商责任</w:t>
      </w:r>
    </w:p>
    <w:p>
      <w:pPr>
        <w:pStyle w:val="2"/>
        <w:spacing w:line="360" w:lineRule="auto"/>
        <w:ind w:firstLine="480" w:firstLineChars="200"/>
        <w:rPr>
          <w:rFonts w:ascii="宋体" w:hAnsi="宋体" w:cs="宋体"/>
          <w:sz w:val="24"/>
        </w:rPr>
      </w:pPr>
      <w:r>
        <w:rPr>
          <w:rFonts w:hint="eastAsia" w:ascii="宋体" w:hAnsi="宋体" w:cs="宋体"/>
          <w:sz w:val="24"/>
        </w:rPr>
        <w:t>委托人从入围供应商中直接指定供应商提供服务，指定供应商应该在5日内和委托人签订委托合同。指定供应商根据委托人和拍卖（租）标的具体要求独立公正地开展工作，并应当严格遵守国家的有关法律、法规、制度规定及相关执业规范要求。对委托拍卖（租）项目履行过程中出现的违规、违法行为等，除由指定供应商自行承担责任外，南通市财政局可采取必要措施终止业务服务机构资格；情节严重的，依法提请有关部门追究业务服务机构和相关责任人的行政及法律责任。指定供应商在业务承办过程中，应尽可能扩大其信息发布范围，广泛征集项目意向方，促进项目成交。</w:t>
      </w:r>
    </w:p>
    <w:p>
      <w:pPr>
        <w:pStyle w:val="2"/>
        <w:spacing w:line="360" w:lineRule="auto"/>
        <w:ind w:firstLine="480" w:firstLineChars="200"/>
        <w:rPr>
          <w:rFonts w:ascii="宋体" w:hAnsi="宋体" w:cs="宋体"/>
          <w:sz w:val="24"/>
        </w:rPr>
      </w:pPr>
      <w:r>
        <w:rPr>
          <w:rFonts w:hint="eastAsia" w:ascii="宋体" w:hAnsi="宋体" w:cs="宋体"/>
          <w:sz w:val="24"/>
        </w:rPr>
        <w:t>入围供应商应加强对拍卖代理资料的整理和保管。在完成项目后，应按有关管理部门要求对接受委托过程中的全部资料存档保管，并将相关资料送交委托人及南通市财政局。对档案管理不完善的入围供应商，予以警告直至不再对其进行委托。</w:t>
      </w:r>
    </w:p>
    <w:p>
      <w:pPr>
        <w:pStyle w:val="2"/>
        <w:spacing w:line="360" w:lineRule="auto"/>
        <w:ind w:firstLine="480" w:firstLineChars="200"/>
        <w:rPr>
          <w:rFonts w:ascii="宋体" w:hAnsi="宋体" w:cs="宋体"/>
          <w:sz w:val="24"/>
        </w:rPr>
      </w:pPr>
      <w:r>
        <w:rPr>
          <w:rFonts w:hint="eastAsia" w:ascii="宋体" w:hAnsi="宋体" w:cs="宋体"/>
          <w:sz w:val="24"/>
        </w:rPr>
        <w:t>服务机构在合同执行期内，因办理本次招标的合同范围内的服务项目受到投诉或质疑，且成立的，南通市财政局将把相关投诉或质疑结果记录在案，情节严重的，将终止业务服务机构资格，此后3年内不接受其报名。</w:t>
      </w:r>
    </w:p>
    <w:p>
      <w:pPr>
        <w:pStyle w:val="2"/>
        <w:spacing w:line="360" w:lineRule="auto"/>
        <w:ind w:firstLine="480" w:firstLineChars="200"/>
        <w:rPr>
          <w:rFonts w:ascii="宋体" w:hAnsi="宋体" w:cs="宋体"/>
          <w:sz w:val="24"/>
        </w:rPr>
      </w:pPr>
      <w:r>
        <w:rPr>
          <w:rFonts w:hint="eastAsia" w:ascii="宋体" w:hAnsi="宋体" w:cs="宋体"/>
          <w:sz w:val="24"/>
        </w:rPr>
        <w:t>凡涉及招标文件的补充说明或修改，均以南通市财政局在网上发布的信息为准。</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履约保证金：无</w:t>
      </w:r>
    </w:p>
    <w:p>
      <w:pPr>
        <w:numPr>
          <w:ilvl w:val="0"/>
          <w:numId w:val="5"/>
        </w:numPr>
        <w:snapToGrid w:val="0"/>
        <w:spacing w:before="120" w:after="120" w:line="360" w:lineRule="auto"/>
        <w:rPr>
          <w:rFonts w:ascii="宋体" w:hAnsi="宋体" w:cs="宋体"/>
          <w:b/>
          <w:bCs/>
          <w:sz w:val="24"/>
        </w:rPr>
      </w:pPr>
      <w:r>
        <w:rPr>
          <w:rFonts w:hint="eastAsia" w:ascii="宋体" w:hAnsi="宋体" w:cs="宋体"/>
          <w:b/>
          <w:bCs/>
          <w:sz w:val="24"/>
        </w:rPr>
        <w:t>释义</w:t>
      </w:r>
    </w:p>
    <w:p>
      <w:pPr>
        <w:pStyle w:val="2"/>
        <w:spacing w:line="360" w:lineRule="auto"/>
        <w:rPr>
          <w:rFonts w:ascii="宋体" w:hAnsi="宋体" w:cs="宋体"/>
          <w:sz w:val="24"/>
        </w:rPr>
      </w:pPr>
      <w:r>
        <w:rPr>
          <w:rFonts w:hint="eastAsia" w:ascii="宋体" w:hAnsi="宋体" w:cs="宋体"/>
          <w:sz w:val="24"/>
        </w:rPr>
        <w:t>采购人：是指框架协议采购第一阶段征集人南通市财政局。</w:t>
      </w:r>
    </w:p>
    <w:p>
      <w:pPr>
        <w:pStyle w:val="2"/>
        <w:spacing w:line="360" w:lineRule="auto"/>
        <w:rPr>
          <w:rFonts w:ascii="宋体" w:hAnsi="宋体" w:cs="宋体"/>
          <w:sz w:val="24"/>
        </w:rPr>
      </w:pPr>
      <w:r>
        <w:rPr>
          <w:rFonts w:hint="eastAsia" w:ascii="宋体" w:hAnsi="宋体" w:cs="宋体"/>
          <w:sz w:val="24"/>
        </w:rPr>
        <w:t>代理机构：指本项目采购代理机构江苏西亚项目管理咨询有限公司。</w:t>
      </w:r>
    </w:p>
    <w:p>
      <w:pPr>
        <w:pStyle w:val="2"/>
        <w:spacing w:line="360" w:lineRule="auto"/>
        <w:rPr>
          <w:rFonts w:ascii="宋体" w:hAnsi="宋体" w:cs="宋体"/>
          <w:sz w:val="24"/>
        </w:rPr>
      </w:pPr>
      <w:r>
        <w:rPr>
          <w:rFonts w:hint="eastAsia" w:ascii="宋体" w:hAnsi="宋体" w:cs="宋体"/>
          <w:sz w:val="24"/>
        </w:rPr>
        <w:t>入围供应商：是指经过项目评审选定的标段一、标段二各十家（不足十家按实际数量为准）供应商。</w:t>
      </w:r>
    </w:p>
    <w:p>
      <w:pPr>
        <w:pStyle w:val="2"/>
        <w:spacing w:line="360" w:lineRule="auto"/>
        <w:rPr>
          <w:rFonts w:ascii="宋体" w:hAnsi="宋体" w:cs="宋体"/>
          <w:sz w:val="24"/>
        </w:rPr>
      </w:pPr>
      <w:r>
        <w:rPr>
          <w:rFonts w:hint="eastAsia" w:ascii="宋体" w:hAnsi="宋体" w:cs="宋体"/>
          <w:sz w:val="24"/>
        </w:rPr>
        <w:t>委托人：是指框架协议采购第二阶段具体评估、拍卖（租）业务的委托人或服务对象。</w:t>
      </w:r>
    </w:p>
    <w:p>
      <w:pPr>
        <w:pStyle w:val="22"/>
        <w:rPr>
          <w:rFonts w:ascii="宋体" w:hAnsi="宋体" w:cs="宋体"/>
          <w:b/>
          <w:bCs/>
        </w:rPr>
      </w:pPr>
      <w:r>
        <w:rPr>
          <w:rFonts w:hint="eastAsia" w:ascii="宋体" w:hAnsi="宋体" w:cs="宋体"/>
          <w:color w:val="auto"/>
          <w:kern w:val="2"/>
        </w:rPr>
        <w:t>指定的供应商：是指框架协议采购第二阶段，委托人在入围供应商中直接选定的供应商。</w:t>
      </w:r>
    </w:p>
    <w:p>
      <w:pPr>
        <w:adjustRightInd w:val="0"/>
        <w:snapToGrid w:val="0"/>
        <w:spacing w:line="500" w:lineRule="exact"/>
        <w:rPr>
          <w:rFonts w:ascii="宋体" w:hAnsi="宋体" w:cs="宋体"/>
          <w:b/>
          <w:sz w:val="28"/>
          <w:szCs w:val="28"/>
        </w:rPr>
      </w:pPr>
    </w:p>
    <w:bookmarkEnd w:id="0"/>
    <w:bookmarkEnd w:id="1"/>
    <w:bookmarkEnd w:id="6"/>
    <w:p>
      <w:pPr>
        <w:jc w:val="left"/>
        <w:rPr>
          <w:rFonts w:ascii="宋体" w:hAnsi="宋体" w:cs="宋体"/>
          <w:bCs/>
          <w:sz w:val="36"/>
          <w:szCs w:val="36"/>
        </w:rPr>
      </w:pPr>
      <w:r>
        <w:rPr>
          <w:rFonts w:hint="eastAsia" w:ascii="宋体" w:hAnsi="宋体" w:cs="宋体"/>
          <w:bCs/>
          <w:sz w:val="36"/>
          <w:szCs w:val="36"/>
        </w:rPr>
        <w:br w:type="page"/>
      </w:r>
    </w:p>
    <w:p>
      <w:pPr>
        <w:jc w:val="center"/>
        <w:rPr>
          <w:rFonts w:ascii="宋体" w:hAnsi="宋体" w:cs="宋体"/>
          <w:bCs/>
          <w:sz w:val="36"/>
          <w:szCs w:val="36"/>
        </w:rPr>
      </w:pPr>
      <w:r>
        <w:rPr>
          <w:rFonts w:hint="eastAsia" w:ascii="宋体" w:hAnsi="宋体" w:cs="宋体"/>
          <w:bCs/>
          <w:sz w:val="36"/>
          <w:szCs w:val="36"/>
        </w:rPr>
        <w:t>第四部分  开启和评审</w:t>
      </w:r>
    </w:p>
    <w:p>
      <w:pPr>
        <w:pStyle w:val="23"/>
        <w:snapToGrid w:val="0"/>
        <w:spacing w:before="0" w:after="0" w:line="500" w:lineRule="exact"/>
        <w:ind w:left="0" w:right="0" w:firstLine="482" w:firstLineChars="200"/>
        <w:jc w:val="left"/>
        <w:rPr>
          <w:rFonts w:ascii="宋体" w:hAnsi="宋体" w:cs="宋体"/>
          <w:b/>
          <w:kern w:val="2"/>
        </w:rPr>
      </w:pPr>
      <w:r>
        <w:rPr>
          <w:rFonts w:hint="eastAsia" w:ascii="宋体" w:hAnsi="宋体" w:cs="宋体"/>
          <w:b/>
          <w:kern w:val="2"/>
        </w:rPr>
        <w:t>一、开启</w:t>
      </w:r>
    </w:p>
    <w:p>
      <w:pPr>
        <w:tabs>
          <w:tab w:val="left" w:pos="3585"/>
        </w:tabs>
        <w:adjustRightInd w:val="0"/>
        <w:snapToGrid w:val="0"/>
        <w:spacing w:line="500" w:lineRule="exact"/>
        <w:ind w:firstLine="460" w:firstLineChars="192"/>
        <w:rPr>
          <w:rFonts w:ascii="宋体" w:hAnsi="宋体" w:cs="宋体"/>
          <w:sz w:val="24"/>
        </w:rPr>
      </w:pPr>
      <w:r>
        <w:rPr>
          <w:rFonts w:hint="eastAsia" w:ascii="宋体" w:hAnsi="宋体" w:cs="宋体"/>
          <w:sz w:val="24"/>
        </w:rPr>
        <w:t>不见面远程开启模式：供应商在各自地点通过腾讯会议参加开启会。</w:t>
      </w:r>
    </w:p>
    <w:p>
      <w:pPr>
        <w:pStyle w:val="23"/>
        <w:snapToGrid w:val="0"/>
        <w:spacing w:before="0" w:after="0" w:line="500" w:lineRule="exact"/>
        <w:ind w:left="0" w:right="0" w:firstLine="482" w:firstLineChars="200"/>
        <w:jc w:val="left"/>
        <w:rPr>
          <w:rFonts w:ascii="宋体" w:hAnsi="宋体" w:cs="宋体"/>
          <w:b/>
          <w:kern w:val="2"/>
          <w:highlight w:val="yellow"/>
        </w:rPr>
      </w:pPr>
      <w:r>
        <w:rPr>
          <w:rFonts w:hint="eastAsia" w:ascii="宋体" w:hAnsi="宋体" w:cs="宋体"/>
          <w:b/>
          <w:kern w:val="2"/>
        </w:rPr>
        <w:t>二、评审流程和评审标准</w:t>
      </w:r>
    </w:p>
    <w:p>
      <w:pPr>
        <w:adjustRightInd w:val="0"/>
        <w:snapToGrid w:val="0"/>
        <w:spacing w:line="500" w:lineRule="exact"/>
        <w:ind w:firstLine="555"/>
        <w:rPr>
          <w:rFonts w:ascii="宋体" w:hAnsi="宋体" w:cs="宋体"/>
          <w:sz w:val="24"/>
        </w:rPr>
      </w:pPr>
      <w:r>
        <w:rPr>
          <w:rFonts w:hint="eastAsia" w:ascii="宋体" w:hAnsi="宋体" w:cs="宋体"/>
          <w:sz w:val="24"/>
        </w:rPr>
        <w:t>本项目采用质量优先法，即指对满足采购需求且响应报价不超过最高限制单价的货物、服务进行质量综合评分，按照质量评分从高到低排序，根据征集文件规定的</w:t>
      </w:r>
      <w:r>
        <w:rPr>
          <w:rFonts w:hint="eastAsia" w:ascii="宋体" w:hAnsi="宋体" w:cs="宋体"/>
          <w:sz w:val="24"/>
          <w:lang w:eastAsia="zh-Hans"/>
        </w:rPr>
        <w:t>入选</w:t>
      </w:r>
      <w:r>
        <w:rPr>
          <w:rFonts w:hint="eastAsia" w:ascii="宋体" w:hAnsi="宋体" w:cs="宋体"/>
          <w:sz w:val="24"/>
        </w:rPr>
        <w:t>率或者入围供应商数量上限，确定入围供应商的评审方法。</w:t>
      </w:r>
    </w:p>
    <w:p>
      <w:pPr>
        <w:adjustRightInd w:val="0"/>
        <w:snapToGrid w:val="0"/>
        <w:spacing w:line="500" w:lineRule="exact"/>
        <w:ind w:firstLine="555"/>
        <w:rPr>
          <w:rFonts w:ascii="宋体" w:hAnsi="宋体" w:cs="宋体"/>
          <w:sz w:val="24"/>
        </w:rPr>
      </w:pPr>
      <w:r>
        <w:rPr>
          <w:rFonts w:hint="eastAsia" w:ascii="宋体" w:hAnsi="宋体" w:cs="宋体"/>
          <w:sz w:val="24"/>
        </w:rPr>
        <w:t>本项目分资格审查、商务技术标、价格标三部分评审，总分值为100分，加分和减分因素除外。</w:t>
      </w:r>
    </w:p>
    <w:p>
      <w:pPr>
        <w:adjustRightInd w:val="0"/>
        <w:snapToGrid w:val="0"/>
        <w:spacing w:line="500" w:lineRule="exact"/>
        <w:ind w:firstLine="555"/>
        <w:rPr>
          <w:rFonts w:ascii="宋体" w:hAnsi="宋体" w:cs="宋体"/>
          <w:sz w:val="24"/>
        </w:rPr>
      </w:pPr>
      <w:r>
        <w:rPr>
          <w:rFonts w:hint="eastAsia" w:ascii="宋体" w:hAnsi="宋体" w:cs="宋体"/>
          <w:sz w:val="24"/>
        </w:rPr>
        <w:t>首先由采购人对供应商资格进行审查，然后评审委员会对符合资格的供应商的响应文件进行符合性审查，最后评审委员会对符合性审查合格的响应文件商务、技术部分进行评估，综合比较与评价。待商务技术标评审结束后，进行价格标的开启、评审。供应商商务、技术部分和价格部分的合计分值，为该供应商的评审总得分。</w:t>
      </w:r>
    </w:p>
    <w:p>
      <w:pPr>
        <w:adjustRightInd w:val="0"/>
        <w:snapToGrid w:val="0"/>
        <w:spacing w:line="500" w:lineRule="exact"/>
        <w:ind w:firstLine="555"/>
        <w:rPr>
          <w:rFonts w:ascii="宋体" w:hAnsi="宋体" w:cs="宋体"/>
          <w:sz w:val="24"/>
        </w:rPr>
      </w:pPr>
      <w:r>
        <w:rPr>
          <w:rFonts w:hint="eastAsia" w:ascii="宋体" w:hAnsi="宋体" w:cs="宋体"/>
          <w:sz w:val="24"/>
        </w:rPr>
        <w:t>每标段评审结果按评审后得分由高到低顺序排列。</w:t>
      </w:r>
      <w:r>
        <w:rPr>
          <w:rFonts w:hint="eastAsia" w:ascii="宋体" w:hAnsi="宋体" w:cs="宋体"/>
          <w:b/>
          <w:bCs/>
          <w:sz w:val="24"/>
        </w:rPr>
        <w:t>得分相同的，按响应报价由低到高顺序排列。得分且响应报价相同的并列，最后一名并列的，现场抽签确定。</w:t>
      </w:r>
      <w:r>
        <w:rPr>
          <w:rFonts w:hint="eastAsia" w:ascii="宋体" w:hAnsi="宋体" w:cs="宋体"/>
          <w:sz w:val="24"/>
        </w:rPr>
        <w:t>响应文件满足征集文件全部实质性要求，且按照评审因素的量化指标评审得分</w:t>
      </w:r>
      <w:r>
        <w:rPr>
          <w:rFonts w:hint="eastAsia" w:ascii="宋体" w:hAnsi="宋体" w:cs="宋体"/>
          <w:b/>
          <w:bCs/>
          <w:sz w:val="24"/>
        </w:rPr>
        <w:t>前十名</w:t>
      </w:r>
      <w:r>
        <w:rPr>
          <w:rFonts w:hint="eastAsia" w:ascii="宋体" w:hAnsi="宋体" w:cs="宋体"/>
          <w:sz w:val="24"/>
        </w:rPr>
        <w:t>的供应商为第一阶段入围供应商</w:t>
      </w:r>
      <w:r>
        <w:rPr>
          <w:rFonts w:hint="eastAsia" w:ascii="宋体" w:hAnsi="宋体" w:cs="宋体"/>
          <w:bCs/>
          <w:sz w:val="24"/>
        </w:rPr>
        <w:t>（</w:t>
      </w:r>
      <w:r>
        <w:rPr>
          <w:rFonts w:hint="eastAsia" w:ascii="宋体" w:hAnsi="宋体" w:cs="宋体"/>
          <w:sz w:val="24"/>
        </w:rPr>
        <w:t>若每标段</w:t>
      </w:r>
      <w:r>
        <w:rPr>
          <w:rFonts w:hint="eastAsia" w:ascii="宋体" w:hAnsi="宋体" w:cs="宋体"/>
          <w:sz w:val="24"/>
          <w:lang w:eastAsia="zh-Hans"/>
        </w:rPr>
        <w:t>实质性响应</w:t>
      </w:r>
      <w:r>
        <w:rPr>
          <w:rFonts w:hint="eastAsia" w:ascii="宋体" w:hAnsi="宋体" w:cs="宋体"/>
          <w:sz w:val="24"/>
        </w:rPr>
        <w:t>的投标单位13家及以上的，入围10家；每标段</w:t>
      </w:r>
      <w:r>
        <w:rPr>
          <w:rFonts w:hint="eastAsia" w:ascii="宋体" w:hAnsi="宋体" w:cs="宋体"/>
          <w:sz w:val="24"/>
          <w:lang w:eastAsia="zh-Hans"/>
        </w:rPr>
        <w:t>实质性响应</w:t>
      </w:r>
      <w:r>
        <w:rPr>
          <w:rFonts w:hint="eastAsia" w:ascii="宋体" w:hAnsi="宋体" w:cs="宋体"/>
          <w:sz w:val="24"/>
        </w:rPr>
        <w:t>的投标单位13家以下的，入围80%（四舍五入），出具评审意见并将结果通知所有参与征集供应商。</w:t>
      </w:r>
    </w:p>
    <w:p>
      <w:pPr>
        <w:adjustRightInd w:val="0"/>
        <w:snapToGrid w:val="0"/>
        <w:spacing w:line="500" w:lineRule="exact"/>
        <w:ind w:firstLine="555"/>
        <w:rPr>
          <w:rFonts w:ascii="宋体" w:hAnsi="宋体" w:cs="宋体"/>
          <w:sz w:val="24"/>
        </w:rPr>
      </w:pPr>
      <w:r>
        <w:rPr>
          <w:rFonts w:hint="eastAsia" w:ascii="宋体" w:hAnsi="宋体" w:cs="宋体"/>
          <w:sz w:val="24"/>
        </w:rPr>
        <w:t>评委在认真审阅响应文件的基础上，根据各响应文件的响应程度独立评判，不得统一打分。</w:t>
      </w:r>
    </w:p>
    <w:p>
      <w:pPr>
        <w:adjustRightInd w:val="0"/>
        <w:snapToGrid w:val="0"/>
        <w:spacing w:line="500" w:lineRule="exact"/>
        <w:ind w:firstLine="354" w:firstLineChars="147"/>
        <w:rPr>
          <w:rFonts w:ascii="宋体" w:hAnsi="宋体" w:cs="宋体"/>
          <w:b/>
          <w:sz w:val="24"/>
        </w:rPr>
      </w:pPr>
      <w:r>
        <w:rPr>
          <w:rFonts w:hint="eastAsia" w:ascii="宋体" w:hAnsi="宋体" w:cs="宋体"/>
          <w:b/>
          <w:sz w:val="24"/>
        </w:rPr>
        <w:t>（一）采购人（代表）对供应商资格进行审查。</w:t>
      </w:r>
    </w:p>
    <w:p>
      <w:pPr>
        <w:pStyle w:val="24"/>
        <w:adjustRightInd w:val="0"/>
        <w:snapToGrid w:val="0"/>
        <w:spacing w:line="500" w:lineRule="exact"/>
        <w:ind w:firstLine="494"/>
        <w:rPr>
          <w:rFonts w:ascii="宋体" w:eastAsia="宋体" w:cs="宋体"/>
          <w:sz w:val="24"/>
          <w:szCs w:val="24"/>
        </w:rPr>
      </w:pPr>
      <w:r>
        <w:rPr>
          <w:rFonts w:hint="eastAsia" w:ascii="宋体" w:eastAsia="宋体" w:cs="宋体"/>
          <w:sz w:val="24"/>
          <w:szCs w:val="24"/>
        </w:rPr>
        <w:t>供应商资格不合格的，其响应文件判定为无效响应文件。</w:t>
      </w:r>
    </w:p>
    <w:p>
      <w:pPr>
        <w:adjustRightInd w:val="0"/>
        <w:snapToGrid w:val="0"/>
        <w:spacing w:line="500" w:lineRule="exact"/>
        <w:ind w:firstLine="354" w:firstLineChars="147"/>
        <w:jc w:val="left"/>
        <w:rPr>
          <w:rFonts w:ascii="宋体" w:hAnsi="宋体" w:cs="宋体"/>
          <w:b/>
          <w:sz w:val="24"/>
        </w:rPr>
      </w:pPr>
      <w:r>
        <w:rPr>
          <w:rFonts w:hint="eastAsia" w:ascii="宋体" w:hAnsi="宋体" w:cs="宋体"/>
          <w:b/>
          <w:sz w:val="24"/>
        </w:rPr>
        <w:t>（二）评审委员会对符合资格供应商的响应文件进行符合性审查。</w:t>
      </w:r>
    </w:p>
    <w:p>
      <w:pPr>
        <w:pStyle w:val="24"/>
        <w:adjustRightInd w:val="0"/>
        <w:snapToGrid w:val="0"/>
        <w:spacing w:line="500" w:lineRule="exact"/>
        <w:ind w:firstLine="494"/>
        <w:rPr>
          <w:rFonts w:ascii="宋体" w:eastAsia="宋体" w:cs="宋体"/>
          <w:sz w:val="24"/>
          <w:szCs w:val="24"/>
        </w:rPr>
      </w:pPr>
      <w:r>
        <w:rPr>
          <w:rFonts w:hint="eastAsia" w:ascii="宋体" w:eastAsia="宋体" w:cs="宋体"/>
          <w:sz w:val="24"/>
          <w:szCs w:val="24"/>
        </w:rPr>
        <w:t>1.评审委员会成员：对符合资格的参与征集供应商的响应文件进行符合性审查，以确定其是否满足征集文件的实质性要求；按照征集文件中规定的评审方法和标准，对符合性审查合格的响应文件进行商务和技术评估，综合比较与评价。</w:t>
      </w:r>
    </w:p>
    <w:p>
      <w:pPr>
        <w:pStyle w:val="24"/>
        <w:adjustRightInd w:val="0"/>
        <w:snapToGrid w:val="0"/>
        <w:spacing w:line="500" w:lineRule="exact"/>
        <w:ind w:firstLine="494"/>
        <w:rPr>
          <w:rFonts w:ascii="宋体" w:eastAsia="宋体" w:cs="宋体"/>
          <w:sz w:val="24"/>
          <w:szCs w:val="24"/>
        </w:rPr>
      </w:pPr>
      <w:r>
        <w:rPr>
          <w:rFonts w:hint="eastAsia" w:ascii="宋体" w:eastAsia="宋体" w:cs="宋体"/>
          <w:sz w:val="24"/>
          <w:szCs w:val="24"/>
        </w:rPr>
        <w:t>2.评审委员会严格按照征集文件规定的要求、条件、评分标准，对参与征集供应商所提供的完整计划标的物的科学性、可行性、产品质量、服务质量的保证及承诺等实质性响应内容进行比较评价。</w:t>
      </w:r>
    </w:p>
    <w:p>
      <w:pPr>
        <w:pStyle w:val="24"/>
        <w:adjustRightInd w:val="0"/>
        <w:snapToGrid w:val="0"/>
        <w:spacing w:line="500" w:lineRule="exact"/>
        <w:ind w:firstLine="494"/>
        <w:rPr>
          <w:rFonts w:ascii="宋体" w:eastAsia="宋体" w:cs="宋体"/>
          <w:sz w:val="24"/>
          <w:szCs w:val="24"/>
        </w:rPr>
      </w:pPr>
      <w:r>
        <w:rPr>
          <w:rFonts w:hint="eastAsia" w:ascii="宋体" w:eastAsia="宋体" w:cs="宋体"/>
          <w:sz w:val="24"/>
          <w:szCs w:val="24"/>
        </w:rPr>
        <w:t>3.对响应文件的评审判定，只依据响应文件内容本身，不依靠开启后任何外来证明文件。</w:t>
      </w:r>
    </w:p>
    <w:p>
      <w:pPr>
        <w:pStyle w:val="24"/>
        <w:adjustRightInd w:val="0"/>
        <w:snapToGrid w:val="0"/>
        <w:spacing w:line="500" w:lineRule="exact"/>
        <w:ind w:firstLine="494"/>
        <w:rPr>
          <w:rFonts w:ascii="宋体" w:eastAsia="宋体" w:cs="宋体"/>
          <w:sz w:val="24"/>
          <w:szCs w:val="24"/>
        </w:rPr>
      </w:pPr>
      <w:r>
        <w:rPr>
          <w:rFonts w:hint="eastAsia" w:ascii="宋体" w:eastAsia="宋体" w:cs="宋体"/>
          <w:sz w:val="24"/>
          <w:szCs w:val="24"/>
        </w:rPr>
        <w:t>4.未通过符合性审查的响应文件，将被判为不满足征集文件实质性要求。</w:t>
      </w:r>
    </w:p>
    <w:p>
      <w:pPr>
        <w:adjustRightInd w:val="0"/>
        <w:snapToGrid w:val="0"/>
        <w:spacing w:line="500" w:lineRule="exact"/>
        <w:ind w:firstLine="482" w:firstLineChars="200"/>
        <w:jc w:val="left"/>
        <w:rPr>
          <w:rFonts w:ascii="宋体" w:hAnsi="宋体" w:cs="宋体"/>
          <w:sz w:val="24"/>
          <w:lang w:val="zh-CN"/>
        </w:rPr>
      </w:pPr>
      <w:r>
        <w:rPr>
          <w:rFonts w:hint="eastAsia" w:ascii="宋体" w:hAnsi="宋体" w:cs="宋体"/>
          <w:b/>
          <w:sz w:val="24"/>
        </w:rPr>
        <w:t>（</w:t>
      </w:r>
      <w:r>
        <w:rPr>
          <w:rFonts w:hint="eastAsia" w:ascii="宋体" w:hAnsi="宋体" w:cs="宋体"/>
          <w:b/>
          <w:sz w:val="24"/>
          <w:lang w:val="zh-CN"/>
        </w:rPr>
        <w:t>三</w:t>
      </w:r>
      <w:r>
        <w:rPr>
          <w:rFonts w:hint="eastAsia" w:ascii="宋体" w:hAnsi="宋体" w:cs="宋体"/>
          <w:b/>
          <w:sz w:val="24"/>
        </w:rPr>
        <w:t>）</w:t>
      </w:r>
      <w:r>
        <w:rPr>
          <w:rFonts w:hint="eastAsia" w:ascii="宋体" w:hAnsi="宋体" w:cs="宋体"/>
          <w:b/>
          <w:sz w:val="24"/>
          <w:lang w:val="zh-CN"/>
        </w:rPr>
        <w:t>商务技术分</w:t>
      </w:r>
      <w:r>
        <w:rPr>
          <w:rFonts w:hint="eastAsia" w:ascii="宋体" w:hAnsi="宋体" w:cs="宋体"/>
          <w:sz w:val="24"/>
          <w:lang w:val="zh-CN"/>
        </w:rPr>
        <w:t>：</w:t>
      </w:r>
      <w:r>
        <w:rPr>
          <w:rFonts w:hint="eastAsia" w:ascii="宋体" w:hAnsi="宋体" w:cs="宋体"/>
          <w:sz w:val="24"/>
        </w:rPr>
        <w:t>90</w:t>
      </w:r>
      <w:r>
        <w:rPr>
          <w:rFonts w:hint="eastAsia" w:ascii="宋体" w:hAnsi="宋体" w:cs="宋体"/>
          <w:sz w:val="24"/>
          <w:lang w:val="zh-CN"/>
        </w:rPr>
        <w:t>分</w:t>
      </w:r>
    </w:p>
    <w:p>
      <w:pPr>
        <w:ind w:left="420" w:leftChars="200" w:firstLine="120" w:firstLineChars="50"/>
        <w:jc w:val="left"/>
        <w:rPr>
          <w:rFonts w:ascii="宋体" w:hAnsi="宋体" w:cs="宋体"/>
          <w:sz w:val="24"/>
        </w:rPr>
      </w:pPr>
      <w:r>
        <w:rPr>
          <w:rFonts w:hint="eastAsia" w:ascii="宋体" w:hAnsi="宋体" w:cs="宋体"/>
          <w:sz w:val="24"/>
        </w:rPr>
        <w:t>各供应商得分为评委会成员评分的算术平均分，分值保留小数点后两位。</w:t>
      </w:r>
    </w:p>
    <w:p>
      <w:pPr>
        <w:ind w:left="420" w:leftChars="200" w:firstLine="116" w:firstLineChars="50"/>
        <w:jc w:val="left"/>
        <w:rPr>
          <w:rFonts w:ascii="宋体" w:hAnsi="宋体" w:cs="宋体"/>
          <w:sz w:val="24"/>
        </w:rPr>
      </w:pPr>
      <w:r>
        <w:rPr>
          <w:rFonts w:hint="eastAsia" w:ascii="宋体" w:hAnsi="宋体" w:cs="宋体"/>
          <w:b/>
          <w:bCs/>
          <w:spacing w:val="-4"/>
          <w:sz w:val="24"/>
        </w:rPr>
        <w:t>标段一：</w:t>
      </w:r>
    </w:p>
    <w:p>
      <w:pPr>
        <w:pStyle w:val="24"/>
        <w:adjustRightInd w:val="0"/>
        <w:snapToGrid w:val="0"/>
        <w:spacing w:line="500" w:lineRule="exact"/>
        <w:ind w:firstLine="494"/>
        <w:jc w:val="left"/>
        <w:textAlignment w:val="center"/>
        <w:rPr>
          <w:rFonts w:ascii="宋体" w:eastAsia="宋体" w:cs="宋体"/>
          <w:sz w:val="24"/>
          <w:szCs w:val="24"/>
          <w:lang w:bidi="ar"/>
        </w:rPr>
      </w:pPr>
      <w:r>
        <w:rPr>
          <w:rFonts w:hint="eastAsia" w:ascii="宋体" w:eastAsia="宋体" w:cs="宋体"/>
          <w:sz w:val="24"/>
          <w:szCs w:val="24"/>
          <w:lang w:bidi="ar"/>
        </w:rPr>
        <w:t>1.商务技术分：90分</w:t>
      </w:r>
    </w:p>
    <w:tbl>
      <w:tblPr>
        <w:tblStyle w:val="17"/>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882"/>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Align w:val="center"/>
          </w:tcPr>
          <w:p>
            <w:pPr>
              <w:rPr>
                <w:rFonts w:ascii="宋体" w:hAnsi="宋体" w:cs="宋体" w:eastAsiaTheme="minorEastAsia"/>
                <w:b/>
                <w:bCs/>
                <w:kern w:val="44"/>
                <w:sz w:val="24"/>
              </w:rPr>
            </w:pPr>
            <w:r>
              <w:rPr>
                <w:rFonts w:hint="eastAsia" w:ascii="宋体" w:hAnsi="宋体" w:cs="宋体" w:eastAsiaTheme="minorEastAsia"/>
                <w:b/>
                <w:bCs/>
                <w:sz w:val="24"/>
              </w:rPr>
              <w:t>序号</w:t>
            </w:r>
          </w:p>
        </w:tc>
        <w:tc>
          <w:tcPr>
            <w:tcW w:w="1559" w:type="dxa"/>
            <w:vAlign w:val="center"/>
          </w:tcPr>
          <w:p>
            <w:pPr>
              <w:rPr>
                <w:rFonts w:ascii="宋体" w:hAnsi="宋体" w:cs="宋体" w:eastAsiaTheme="minorEastAsia"/>
                <w:b/>
                <w:bCs/>
                <w:kern w:val="44"/>
                <w:sz w:val="24"/>
              </w:rPr>
            </w:pPr>
            <w:r>
              <w:rPr>
                <w:rFonts w:hint="eastAsia" w:ascii="宋体" w:hAnsi="宋体" w:cs="宋体" w:eastAsiaTheme="minorEastAsia"/>
                <w:b/>
                <w:bCs/>
                <w:sz w:val="24"/>
              </w:rPr>
              <w:t>评分点名称</w:t>
            </w:r>
          </w:p>
        </w:tc>
        <w:tc>
          <w:tcPr>
            <w:tcW w:w="882" w:type="dxa"/>
            <w:vAlign w:val="center"/>
          </w:tcPr>
          <w:p>
            <w:pPr>
              <w:rPr>
                <w:rFonts w:ascii="宋体" w:hAnsi="宋体" w:cs="宋体" w:eastAsiaTheme="minorEastAsia"/>
                <w:b/>
                <w:bCs/>
                <w:kern w:val="44"/>
                <w:sz w:val="24"/>
              </w:rPr>
            </w:pPr>
            <w:r>
              <w:rPr>
                <w:rFonts w:hint="eastAsia" w:ascii="宋体" w:hAnsi="宋体" w:cs="宋体" w:eastAsiaTheme="minorEastAsia"/>
                <w:b/>
                <w:bCs/>
                <w:sz w:val="24"/>
              </w:rPr>
              <w:t>分值</w:t>
            </w:r>
          </w:p>
        </w:tc>
        <w:tc>
          <w:tcPr>
            <w:tcW w:w="6020" w:type="dxa"/>
            <w:vAlign w:val="center"/>
          </w:tcPr>
          <w:p>
            <w:pPr>
              <w:rPr>
                <w:rFonts w:ascii="宋体" w:hAnsi="宋体" w:cs="宋体" w:eastAsiaTheme="minorEastAsia"/>
                <w:b/>
                <w:bCs/>
                <w:kern w:val="44"/>
                <w:sz w:val="24"/>
              </w:rPr>
            </w:pPr>
            <w:r>
              <w:rPr>
                <w:rFonts w:hint="eastAsia" w:ascii="宋体" w:hAnsi="宋体" w:cs="宋体" w:eastAsiaTheme="minorEastAsia"/>
                <w:b/>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1</w:t>
            </w:r>
          </w:p>
        </w:tc>
        <w:tc>
          <w:tcPr>
            <w:tcW w:w="1559"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登记备案</w:t>
            </w:r>
          </w:p>
        </w:tc>
        <w:tc>
          <w:tcPr>
            <w:tcW w:w="882"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15</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在财政部门进行资产评估机构登记备案的，得15分。</w:t>
            </w:r>
          </w:p>
          <w:p>
            <w:pPr>
              <w:rPr>
                <w:rFonts w:ascii="宋体" w:hAnsi="宋体" w:cs="宋体" w:eastAsiaTheme="minorEastAsia"/>
                <w:b/>
                <w:kern w:val="44"/>
                <w:sz w:val="24"/>
              </w:rPr>
            </w:pPr>
            <w:r>
              <w:rPr>
                <w:rFonts w:hint="eastAsia" w:ascii="宋体" w:hAnsi="宋体" w:cs="宋体" w:eastAsiaTheme="minorEastAsia"/>
                <w:b/>
                <w:bCs/>
                <w:kern w:val="44"/>
                <w:sz w:val="24"/>
              </w:rPr>
              <w:t>备注：以财政部门备案公告并加盖公章为准。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2</w:t>
            </w:r>
          </w:p>
        </w:tc>
        <w:tc>
          <w:tcPr>
            <w:tcW w:w="1559"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以往业绩</w:t>
            </w:r>
          </w:p>
        </w:tc>
        <w:tc>
          <w:tcPr>
            <w:tcW w:w="882"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20</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入围“南通市财政局2021-2022年度南通市本级行政事业单位国有资产评估及拍卖（租）服务定点机构”的供应商提供市本级行政事业单位服务合同，1-5份合同的，每份合同得3分；6份合同及以上的，每份合同得1分，此项最高得分20分。（同时需提供入围“南通市财政局2021-2022年度南通市本级行政事业单位国有资产评估及拍卖（租）服务定点机构”证明资料。若提供非市本级行政事业单位服务合同的，不得分。）</w:t>
            </w:r>
          </w:p>
          <w:p>
            <w:pPr>
              <w:adjustRightInd w:val="0"/>
              <w:snapToGrid w:val="0"/>
              <w:rPr>
                <w:rFonts w:ascii="宋体" w:hAnsi="宋体" w:cs="宋体" w:eastAsiaTheme="minorEastAsia"/>
                <w:b/>
                <w:bCs/>
                <w:sz w:val="24"/>
              </w:rPr>
            </w:pPr>
            <w:r>
              <w:rPr>
                <w:rFonts w:hint="eastAsia" w:ascii="宋体" w:hAnsi="宋体" w:cs="宋体" w:eastAsiaTheme="minorEastAsia"/>
                <w:b/>
                <w:bCs/>
                <w:sz w:val="24"/>
              </w:rPr>
              <w:t>或：</w:t>
            </w:r>
          </w:p>
          <w:p>
            <w:pPr>
              <w:adjustRightInd w:val="0"/>
              <w:snapToGrid w:val="0"/>
              <w:rPr>
                <w:rFonts w:ascii="宋体" w:hAnsi="宋体" w:cs="宋体" w:eastAsiaTheme="minorEastAsia"/>
                <w:sz w:val="24"/>
              </w:rPr>
            </w:pPr>
            <w:r>
              <w:rPr>
                <w:rFonts w:hint="eastAsia" w:ascii="宋体" w:hAnsi="宋体" w:cs="宋体" w:eastAsiaTheme="minorEastAsia"/>
                <w:sz w:val="24"/>
              </w:rPr>
              <w:t>其他供应商提供国有资产评估服务合同，1-5份合同的，每份合同得3分；6份合同及以上的，每份合同得1分，此项最高得分20分。</w:t>
            </w:r>
          </w:p>
          <w:p>
            <w:pPr>
              <w:rPr>
                <w:rFonts w:ascii="宋体" w:hAnsi="宋体" w:cs="宋体" w:eastAsiaTheme="minorEastAsia"/>
                <w:b/>
                <w:kern w:val="44"/>
                <w:sz w:val="24"/>
              </w:rPr>
            </w:pPr>
            <w:r>
              <w:rPr>
                <w:rFonts w:hint="eastAsia" w:ascii="宋体" w:hAnsi="宋体" w:cs="宋体" w:eastAsiaTheme="minorEastAsia"/>
                <w:b/>
                <w:bCs/>
                <w:sz w:val="24"/>
              </w:rPr>
              <w:t>备注：合同时间为2021年4月至2022年12月。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3</w:t>
            </w:r>
          </w:p>
        </w:tc>
        <w:tc>
          <w:tcPr>
            <w:tcW w:w="1559"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项目组实力</w:t>
            </w:r>
          </w:p>
        </w:tc>
        <w:tc>
          <w:tcPr>
            <w:tcW w:w="882"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10</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拟派项目组成员中具有资产评估师资质的，5人及以上，得10分；少于5人的，每少1人减2分，扣完为止。</w:t>
            </w:r>
          </w:p>
          <w:p>
            <w:pPr>
              <w:rPr>
                <w:rFonts w:ascii="宋体" w:hAnsi="宋体" w:cs="宋体" w:eastAsiaTheme="minorEastAsia"/>
                <w:b/>
                <w:kern w:val="44"/>
                <w:sz w:val="24"/>
              </w:rPr>
            </w:pPr>
            <w:r>
              <w:rPr>
                <w:rFonts w:hint="eastAsia" w:ascii="宋体" w:hAnsi="宋体" w:cs="宋体" w:eastAsiaTheme="minorEastAsia"/>
                <w:b/>
                <w:bCs/>
                <w:kern w:val="44"/>
                <w:sz w:val="24"/>
              </w:rPr>
              <w:t>备注：以经年检的资产评估资格证书及企业为其缴纳的2022年6月至11月的社保缴费记录。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4</w:t>
            </w:r>
          </w:p>
        </w:tc>
        <w:tc>
          <w:tcPr>
            <w:tcW w:w="1559"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服务响应</w:t>
            </w:r>
          </w:p>
        </w:tc>
        <w:tc>
          <w:tcPr>
            <w:tcW w:w="882"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15</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供应商自接到采购人电话或信息通知后，到南通市行政中心车程在1小时（含）以内的，得15分；1小时至2小时（含）的，得8分；超过2小时的，得2分。</w:t>
            </w:r>
          </w:p>
          <w:p>
            <w:pPr>
              <w:rPr>
                <w:rFonts w:ascii="宋体" w:hAnsi="宋体" w:cs="宋体" w:eastAsiaTheme="minorEastAsia"/>
                <w:b/>
                <w:kern w:val="44"/>
                <w:sz w:val="24"/>
              </w:rPr>
            </w:pPr>
            <w:r>
              <w:rPr>
                <w:rFonts w:hint="eastAsia" w:ascii="宋体" w:hAnsi="宋体" w:cs="宋体" w:eastAsiaTheme="minorEastAsia"/>
                <w:sz w:val="24"/>
              </w:rPr>
              <w:t>提供供应商营业执照注册地或分公司营业执照注册地至南通市行政中心百度地图截图，时间以百度地图截图时间为准。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5</w:t>
            </w:r>
          </w:p>
        </w:tc>
        <w:tc>
          <w:tcPr>
            <w:tcW w:w="1559"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服务承诺</w:t>
            </w:r>
          </w:p>
        </w:tc>
        <w:tc>
          <w:tcPr>
            <w:tcW w:w="882" w:type="dxa"/>
            <w:vAlign w:val="center"/>
          </w:tcPr>
          <w:p>
            <w:pPr>
              <w:jc w:val="center"/>
              <w:rPr>
                <w:rFonts w:ascii="宋体" w:hAnsi="宋体" w:cs="宋体" w:eastAsiaTheme="minorEastAsia"/>
                <w:b/>
                <w:kern w:val="44"/>
                <w:sz w:val="24"/>
              </w:rPr>
            </w:pPr>
            <w:r>
              <w:rPr>
                <w:rFonts w:hint="eastAsia" w:ascii="宋体" w:hAnsi="宋体" w:cs="宋体" w:eastAsiaTheme="minorEastAsia"/>
                <w:kern w:val="44"/>
                <w:sz w:val="24"/>
              </w:rPr>
              <w:t>10</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供应商承诺资产评估后项目未成交，在一年内免费提供一次重新评估服务。（格式自拟）</w:t>
            </w:r>
          </w:p>
          <w:p>
            <w:pPr>
              <w:rPr>
                <w:rFonts w:ascii="宋体" w:hAnsi="宋体" w:cs="宋体" w:eastAsiaTheme="minorEastAsia"/>
                <w:b/>
                <w:kern w:val="44"/>
                <w:sz w:val="24"/>
              </w:rPr>
            </w:pPr>
            <w:r>
              <w:rPr>
                <w:rFonts w:hint="eastAsia" w:ascii="宋体" w:hAnsi="宋体" w:cs="宋体" w:eastAsiaTheme="minorEastAsia"/>
                <w:kern w:val="44"/>
                <w:sz w:val="24"/>
              </w:rPr>
              <w:t>备注：以盖章的承诺函为准。提供响应承诺函得10分，不提供不得分。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宋体" w:hAnsi="宋体" w:cs="宋体" w:eastAsiaTheme="minorEastAsia"/>
                <w:kern w:val="44"/>
                <w:sz w:val="24"/>
              </w:rPr>
            </w:pPr>
            <w:r>
              <w:rPr>
                <w:rFonts w:hint="eastAsia" w:ascii="宋体" w:hAnsi="宋体" w:cs="宋体" w:eastAsiaTheme="minorEastAsia"/>
                <w:kern w:val="44"/>
                <w:sz w:val="24"/>
              </w:rPr>
              <w:t>6</w:t>
            </w:r>
          </w:p>
        </w:tc>
        <w:tc>
          <w:tcPr>
            <w:tcW w:w="1559" w:type="dxa"/>
            <w:vAlign w:val="center"/>
          </w:tcPr>
          <w:p>
            <w:pPr>
              <w:rPr>
                <w:rFonts w:ascii="宋体" w:hAnsi="宋体" w:cs="宋体" w:eastAsiaTheme="minorEastAsia"/>
                <w:kern w:val="44"/>
                <w:sz w:val="24"/>
              </w:rPr>
            </w:pPr>
            <w:r>
              <w:rPr>
                <w:rFonts w:hint="eastAsia" w:ascii="宋体" w:hAnsi="宋体" w:cs="宋体" w:eastAsiaTheme="minorEastAsia"/>
                <w:kern w:val="44"/>
                <w:sz w:val="24"/>
              </w:rPr>
              <w:t>服务方案</w:t>
            </w:r>
          </w:p>
        </w:tc>
        <w:tc>
          <w:tcPr>
            <w:tcW w:w="882" w:type="dxa"/>
            <w:vAlign w:val="center"/>
          </w:tcPr>
          <w:p>
            <w:pPr>
              <w:jc w:val="center"/>
              <w:rPr>
                <w:rFonts w:ascii="宋体" w:hAnsi="宋体" w:cs="宋体" w:eastAsiaTheme="minorEastAsia"/>
                <w:kern w:val="44"/>
                <w:sz w:val="24"/>
              </w:rPr>
            </w:pPr>
            <w:r>
              <w:rPr>
                <w:rFonts w:hint="eastAsia" w:ascii="宋体" w:hAnsi="宋体" w:cs="宋体" w:eastAsiaTheme="minorEastAsia"/>
                <w:kern w:val="44"/>
                <w:sz w:val="24"/>
              </w:rPr>
              <w:t>20</w:t>
            </w:r>
          </w:p>
        </w:tc>
        <w:tc>
          <w:tcPr>
            <w:tcW w:w="6020" w:type="dxa"/>
            <w:vAlign w:val="center"/>
          </w:tcPr>
          <w:p>
            <w:pPr>
              <w:adjustRightInd w:val="0"/>
              <w:snapToGrid w:val="0"/>
              <w:rPr>
                <w:rFonts w:ascii="宋体" w:hAnsi="宋体" w:cs="宋体" w:eastAsiaTheme="minorEastAsia"/>
                <w:sz w:val="24"/>
              </w:rPr>
            </w:pPr>
            <w:r>
              <w:rPr>
                <w:rFonts w:hint="eastAsia" w:ascii="宋体" w:hAnsi="宋体" w:cs="宋体" w:eastAsiaTheme="minorEastAsia"/>
                <w:sz w:val="24"/>
              </w:rPr>
              <w:t>服务方案内容应包含实施方案、质量保证、服务承诺、项目团队、保密措施、增值服务及合理建议等内容。</w:t>
            </w:r>
          </w:p>
          <w:p>
            <w:pPr>
              <w:adjustRightInd w:val="0"/>
              <w:snapToGrid w:val="0"/>
              <w:rPr>
                <w:rFonts w:ascii="宋体" w:hAnsi="宋体" w:cs="宋体" w:eastAsiaTheme="minorEastAsia"/>
                <w:sz w:val="24"/>
              </w:rPr>
            </w:pPr>
            <w:r>
              <w:rPr>
                <w:rFonts w:hint="eastAsia" w:ascii="宋体" w:hAnsi="宋体" w:cs="宋体" w:eastAsiaTheme="minorEastAsia"/>
                <w:sz w:val="24"/>
              </w:rPr>
              <w:t>服务方案内容全面合理、针对性强得20分；</w:t>
            </w:r>
          </w:p>
          <w:p>
            <w:pPr>
              <w:adjustRightInd w:val="0"/>
              <w:snapToGrid w:val="0"/>
              <w:rPr>
                <w:rFonts w:ascii="宋体" w:hAnsi="宋体" w:cs="宋体" w:eastAsiaTheme="minorEastAsia"/>
                <w:sz w:val="24"/>
              </w:rPr>
            </w:pPr>
            <w:r>
              <w:rPr>
                <w:rFonts w:hint="eastAsia" w:ascii="宋体" w:hAnsi="宋体" w:cs="宋体" w:eastAsiaTheme="minorEastAsia"/>
                <w:sz w:val="24"/>
              </w:rPr>
              <w:t>服务方案内容较为全面，针对性较好得15分。</w:t>
            </w:r>
          </w:p>
          <w:p>
            <w:pPr>
              <w:adjustRightInd w:val="0"/>
              <w:snapToGrid w:val="0"/>
              <w:rPr>
                <w:rFonts w:ascii="宋体" w:hAnsi="宋体" w:cs="宋体" w:eastAsiaTheme="minorEastAsia"/>
                <w:sz w:val="24"/>
              </w:rPr>
            </w:pPr>
            <w:r>
              <w:rPr>
                <w:rFonts w:hint="eastAsia" w:ascii="宋体" w:hAnsi="宋体" w:cs="宋体" w:eastAsiaTheme="minorEastAsia"/>
                <w:sz w:val="24"/>
              </w:rPr>
              <w:t>服务方案内容较简单，针对性一般得10分。</w:t>
            </w:r>
          </w:p>
          <w:p>
            <w:pPr>
              <w:adjustRightInd w:val="0"/>
              <w:snapToGrid w:val="0"/>
              <w:rPr>
                <w:rFonts w:ascii="宋体" w:hAnsi="宋体" w:cs="宋体" w:eastAsiaTheme="minorEastAsia"/>
                <w:sz w:val="24"/>
              </w:rPr>
            </w:pPr>
            <w:r>
              <w:rPr>
                <w:rFonts w:hint="eastAsia" w:ascii="宋体" w:hAnsi="宋体" w:cs="宋体" w:eastAsiaTheme="minorEastAsia"/>
                <w:sz w:val="24"/>
              </w:rPr>
              <w:t>服务方案内容空洞，针对性差得5分。</w:t>
            </w:r>
          </w:p>
        </w:tc>
      </w:tr>
    </w:tbl>
    <w:p>
      <w:pPr>
        <w:pStyle w:val="3"/>
        <w:adjustRightInd w:val="0"/>
        <w:snapToGrid w:val="0"/>
        <w:spacing w:before="0" w:after="0" w:line="240" w:lineRule="auto"/>
        <w:rPr>
          <w:rFonts w:ascii="宋体" w:hAnsi="宋体" w:cs="宋体"/>
          <w:sz w:val="24"/>
        </w:rPr>
      </w:pPr>
    </w:p>
    <w:p>
      <w:pPr>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2.价格分：10分</w:t>
      </w:r>
    </w:p>
    <w:p>
      <w:pPr>
        <w:ind w:firstLine="480" w:firstLineChars="200"/>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综合评分法中的价格分统一采用低价优先法计算，即满足文件要求且报价有效最低的供应商的价格为基准价，其价格分为满分。其他供应商的价格分统一按照下列公式计算：</w:t>
      </w:r>
    </w:p>
    <w:p>
      <w:pPr>
        <w:ind w:firstLine="480" w:firstLineChars="200"/>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报价得分=（基准价/报价）×价格权值×100</w:t>
      </w:r>
    </w:p>
    <w:p>
      <w:pPr>
        <w:ind w:firstLine="480" w:firstLineChars="200"/>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废标条件：项目报价明显低于人工费用成本价或高出限价要求，经评审专家组认定后作为废标处理。</w:t>
      </w:r>
    </w:p>
    <w:p>
      <w:pPr>
        <w:ind w:firstLine="480" w:firstLineChars="200"/>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明显低于人工费用成本价评判标准为投标价格低于所有投标单位投标平均价格70%（如所有投标单位投标平均价为70%，投标价格低于70%×70%=49%的作废标处理）。</w:t>
      </w:r>
    </w:p>
    <w:p>
      <w:pPr>
        <w:ind w:firstLine="482" w:firstLineChars="200"/>
        <w:jc w:val="left"/>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注：入围征集单位最终结算费率统一以所有入围单位中次低价为成交费率。如入围机构不同意上述中标费率确定方式，视为放弃入围资格，入围资格顺延。</w:t>
      </w:r>
    </w:p>
    <w:p>
      <w:pPr>
        <w:jc w:val="left"/>
        <w:rPr>
          <w:rFonts w:ascii="宋体" w:hAnsi="宋体" w:cs="宋体"/>
          <w:sz w:val="24"/>
        </w:rPr>
      </w:pPr>
      <w:r>
        <w:rPr>
          <w:rFonts w:hint="eastAsia" w:ascii="宋体" w:hAnsi="宋体" w:cs="宋体"/>
          <w:sz w:val="24"/>
        </w:rPr>
        <w:br w:type="column"/>
      </w:r>
      <w:r>
        <w:rPr>
          <w:rFonts w:hint="eastAsia" w:ascii="宋体" w:hAnsi="宋体" w:cs="宋体"/>
          <w:b/>
          <w:bCs/>
          <w:sz w:val="24"/>
        </w:rPr>
        <w:t>标段二：</w:t>
      </w:r>
    </w:p>
    <w:p>
      <w:pPr>
        <w:jc w:val="left"/>
        <w:rPr>
          <w:rFonts w:ascii="宋体" w:hAnsi="宋体" w:cs="宋体"/>
          <w:sz w:val="24"/>
        </w:rPr>
      </w:pPr>
      <w:r>
        <w:rPr>
          <w:rFonts w:hint="eastAsia" w:ascii="宋体" w:hAnsi="宋体" w:cs="宋体"/>
          <w:sz w:val="24"/>
        </w:rPr>
        <w:t>1.商务技术分：90分</w:t>
      </w:r>
    </w:p>
    <w:p>
      <w:pPr>
        <w:adjustRightInd w:val="0"/>
        <w:snapToGrid w:val="0"/>
        <w:spacing w:line="500" w:lineRule="exact"/>
        <w:ind w:firstLine="494"/>
        <w:jc w:val="left"/>
        <w:textAlignment w:val="center"/>
        <w:rPr>
          <w:rFonts w:ascii="宋体" w:hAnsi="宋体" w:cs="宋体"/>
        </w:rPr>
      </w:pPr>
    </w:p>
    <w:tbl>
      <w:tblPr>
        <w:tblStyle w:val="16"/>
        <w:tblpPr w:leftFromText="180" w:rightFromText="180" w:vertAnchor="page" w:horzAnchor="page" w:tblpX="1760" w:tblpY="20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596"/>
        <w:gridCol w:w="728"/>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49" w:type="pct"/>
            <w:vAlign w:val="center"/>
          </w:tcPr>
          <w:p>
            <w:pPr>
              <w:adjustRightInd w:val="0"/>
              <w:snapToGrid w:val="0"/>
              <w:spacing w:line="500" w:lineRule="exact"/>
              <w:jc w:val="center"/>
              <w:textAlignment w:val="center"/>
              <w:rPr>
                <w:rFonts w:ascii="宋体" w:hAnsi="宋体" w:cs="宋体"/>
                <w:sz w:val="24"/>
              </w:rPr>
            </w:pPr>
            <w:r>
              <w:rPr>
                <w:rFonts w:hint="eastAsia" w:ascii="宋体" w:hAnsi="宋体" w:cs="宋体"/>
                <w:sz w:val="24"/>
              </w:rPr>
              <w:t>序号</w:t>
            </w:r>
          </w:p>
        </w:tc>
        <w:tc>
          <w:tcPr>
            <w:tcW w:w="860" w:type="pct"/>
            <w:vAlign w:val="center"/>
          </w:tcPr>
          <w:p>
            <w:pPr>
              <w:adjustRightInd w:val="0"/>
              <w:snapToGrid w:val="0"/>
              <w:spacing w:line="500" w:lineRule="exact"/>
              <w:jc w:val="center"/>
              <w:textAlignment w:val="center"/>
              <w:rPr>
                <w:rFonts w:ascii="宋体" w:hAnsi="宋体" w:cs="宋体"/>
                <w:sz w:val="24"/>
              </w:rPr>
            </w:pPr>
            <w:r>
              <w:rPr>
                <w:rFonts w:hint="eastAsia" w:ascii="宋体" w:hAnsi="宋体" w:cs="宋体"/>
                <w:sz w:val="24"/>
              </w:rPr>
              <w:t>评分点名称</w:t>
            </w:r>
          </w:p>
        </w:tc>
        <w:tc>
          <w:tcPr>
            <w:tcW w:w="392" w:type="pct"/>
            <w:vAlign w:val="center"/>
          </w:tcPr>
          <w:p>
            <w:pPr>
              <w:adjustRightInd w:val="0"/>
              <w:snapToGrid w:val="0"/>
              <w:spacing w:line="500" w:lineRule="exact"/>
              <w:jc w:val="center"/>
              <w:textAlignment w:val="center"/>
              <w:rPr>
                <w:rFonts w:ascii="宋体" w:hAnsi="宋体" w:cs="宋体"/>
                <w:sz w:val="24"/>
              </w:rPr>
            </w:pPr>
            <w:r>
              <w:rPr>
                <w:rFonts w:hint="eastAsia" w:ascii="宋体" w:hAnsi="宋体" w:cs="宋体"/>
                <w:sz w:val="24"/>
              </w:rPr>
              <w:t>分值</w:t>
            </w:r>
          </w:p>
        </w:tc>
        <w:tc>
          <w:tcPr>
            <w:tcW w:w="3297" w:type="pct"/>
            <w:vAlign w:val="center"/>
          </w:tcPr>
          <w:p>
            <w:pPr>
              <w:adjustRightInd w:val="0"/>
              <w:snapToGrid w:val="0"/>
              <w:spacing w:line="500" w:lineRule="exact"/>
              <w:ind w:firstLine="494"/>
              <w:jc w:val="center"/>
              <w:textAlignment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jc w:val="center"/>
              <w:rPr>
                <w:rFonts w:ascii="宋体" w:hAnsi="宋体" w:cs="宋体"/>
                <w:sz w:val="24"/>
              </w:rPr>
            </w:pPr>
            <w:r>
              <w:rPr>
                <w:rFonts w:hint="eastAsia" w:ascii="宋体" w:hAnsi="宋体" w:cs="宋体"/>
                <w:sz w:val="24"/>
              </w:rPr>
              <w:t>1</w:t>
            </w:r>
          </w:p>
        </w:tc>
        <w:tc>
          <w:tcPr>
            <w:tcW w:w="860" w:type="pct"/>
            <w:vAlign w:val="center"/>
          </w:tcPr>
          <w:p>
            <w:pPr>
              <w:jc w:val="center"/>
              <w:rPr>
                <w:rFonts w:ascii="宋体" w:hAnsi="宋体" w:cs="宋体"/>
                <w:sz w:val="24"/>
              </w:rPr>
            </w:pPr>
            <w:r>
              <w:rPr>
                <w:rFonts w:hint="eastAsia" w:ascii="宋体" w:hAnsi="宋体" w:cs="宋体"/>
                <w:sz w:val="24"/>
              </w:rPr>
              <w:t>拍卖等级</w:t>
            </w:r>
          </w:p>
        </w:tc>
        <w:tc>
          <w:tcPr>
            <w:tcW w:w="392" w:type="pct"/>
            <w:vAlign w:val="center"/>
          </w:tcPr>
          <w:p>
            <w:pPr>
              <w:jc w:val="center"/>
              <w:rPr>
                <w:rFonts w:ascii="宋体" w:hAnsi="宋体" w:cs="宋体"/>
                <w:sz w:val="24"/>
              </w:rPr>
            </w:pPr>
            <w:r>
              <w:rPr>
                <w:rFonts w:hint="eastAsia" w:ascii="宋体" w:hAnsi="宋体" w:cs="宋体"/>
                <w:sz w:val="24"/>
              </w:rPr>
              <w:t>15</w:t>
            </w:r>
          </w:p>
        </w:tc>
        <w:tc>
          <w:tcPr>
            <w:tcW w:w="3297" w:type="pct"/>
            <w:vAlign w:val="center"/>
          </w:tcPr>
          <w:p>
            <w:pPr>
              <w:adjustRightInd w:val="0"/>
              <w:snapToGrid w:val="0"/>
              <w:rPr>
                <w:rFonts w:ascii="宋体" w:hAnsi="宋体" w:cs="宋体"/>
                <w:sz w:val="24"/>
              </w:rPr>
            </w:pPr>
            <w:r>
              <w:rPr>
                <w:rFonts w:hint="eastAsia" w:ascii="宋体" w:hAnsi="宋体" w:cs="宋体"/>
                <w:sz w:val="24"/>
              </w:rPr>
              <w:t>拍卖企业等级评估为AAA的，得15分；拍卖企业等级评估为AA的，得10分；拍卖企业等级评估为A的，得5分；无等级评估的，不得分。</w:t>
            </w:r>
          </w:p>
          <w:p>
            <w:pPr>
              <w:adjustRightInd w:val="0"/>
              <w:snapToGrid w:val="0"/>
              <w:rPr>
                <w:rFonts w:ascii="宋体" w:hAnsi="宋体" w:cs="宋体"/>
                <w:sz w:val="24"/>
              </w:rPr>
            </w:pPr>
            <w:r>
              <w:rPr>
                <w:rFonts w:hint="eastAsia" w:ascii="宋体" w:hAnsi="宋体" w:cs="宋体"/>
                <w:b/>
                <w:bCs/>
                <w:sz w:val="24"/>
              </w:rPr>
              <w:t>备注：以中国拍卖行业等级评估结果公告为准。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jc w:val="center"/>
              <w:rPr>
                <w:rFonts w:ascii="宋体" w:hAnsi="宋体" w:cs="宋体"/>
                <w:sz w:val="24"/>
              </w:rPr>
            </w:pPr>
            <w:r>
              <w:rPr>
                <w:rFonts w:hint="eastAsia" w:ascii="宋体" w:hAnsi="宋体" w:cs="宋体"/>
                <w:sz w:val="24"/>
              </w:rPr>
              <w:t>2</w:t>
            </w:r>
          </w:p>
        </w:tc>
        <w:tc>
          <w:tcPr>
            <w:tcW w:w="860" w:type="pct"/>
            <w:vAlign w:val="center"/>
          </w:tcPr>
          <w:p>
            <w:pPr>
              <w:jc w:val="center"/>
              <w:rPr>
                <w:rFonts w:ascii="宋体" w:hAnsi="宋体" w:cs="宋体"/>
                <w:sz w:val="24"/>
              </w:rPr>
            </w:pPr>
            <w:r>
              <w:rPr>
                <w:rFonts w:hint="eastAsia" w:ascii="宋体" w:hAnsi="宋体" w:cs="宋体"/>
                <w:sz w:val="24"/>
              </w:rPr>
              <w:t>以往业绩</w:t>
            </w:r>
          </w:p>
        </w:tc>
        <w:tc>
          <w:tcPr>
            <w:tcW w:w="392" w:type="pct"/>
            <w:vAlign w:val="center"/>
          </w:tcPr>
          <w:p>
            <w:pPr>
              <w:jc w:val="center"/>
              <w:rPr>
                <w:rFonts w:ascii="宋体" w:hAnsi="宋体" w:cs="宋体"/>
                <w:sz w:val="24"/>
              </w:rPr>
            </w:pPr>
            <w:r>
              <w:rPr>
                <w:rFonts w:hint="eastAsia" w:ascii="宋体" w:hAnsi="宋体" w:cs="宋体"/>
                <w:sz w:val="24"/>
              </w:rPr>
              <w:t>20</w:t>
            </w:r>
          </w:p>
        </w:tc>
        <w:tc>
          <w:tcPr>
            <w:tcW w:w="3297" w:type="pct"/>
            <w:vAlign w:val="center"/>
          </w:tcPr>
          <w:p>
            <w:pPr>
              <w:adjustRightInd w:val="0"/>
              <w:snapToGrid w:val="0"/>
              <w:rPr>
                <w:rFonts w:ascii="宋体" w:hAnsi="宋体" w:cs="宋体"/>
                <w:sz w:val="24"/>
              </w:rPr>
            </w:pPr>
            <w:r>
              <w:rPr>
                <w:rFonts w:hint="eastAsia" w:ascii="宋体" w:hAnsi="宋体" w:cs="宋体"/>
                <w:sz w:val="24"/>
              </w:rPr>
              <w:t>入围“南通市财政局2021-2022年度南通市本级行政事业单位国有资产评估及拍卖（租）服务定点机构”的供应商提供市本级行政事业单位拍卖机构评选签到表或服务合同，1-5份的，每份得3分；6份及以上的，每份得1分，此项最高得分20分。（同时需提供入围“南通市财政局2021-2022年度南通市本级行政事业单位国有资产评估及拍卖（租）服务定点机构”证明资料。若提供非本级行政事业单位拍卖机构评选签到表或服务合同，不得分。））</w:t>
            </w:r>
          </w:p>
          <w:p>
            <w:pPr>
              <w:rPr>
                <w:sz w:val="28"/>
                <w:szCs w:val="28"/>
              </w:rPr>
            </w:pPr>
            <w:r>
              <w:rPr>
                <w:rFonts w:hint="eastAsia"/>
                <w:sz w:val="28"/>
                <w:szCs w:val="28"/>
              </w:rPr>
              <w:t>或：</w:t>
            </w:r>
          </w:p>
          <w:p>
            <w:pPr>
              <w:adjustRightInd w:val="0"/>
              <w:snapToGrid w:val="0"/>
              <w:rPr>
                <w:rFonts w:ascii="宋体" w:hAnsi="宋体" w:cs="宋体"/>
                <w:sz w:val="24"/>
              </w:rPr>
            </w:pPr>
            <w:r>
              <w:rPr>
                <w:rFonts w:hint="eastAsia" w:ascii="宋体" w:hAnsi="宋体" w:cs="宋体"/>
                <w:sz w:val="24"/>
              </w:rPr>
              <w:t>其他供应商提供国有资产拍卖（租）服务合同5份，1-5份合同的，每份合同得3分；6份合同及以上的，每份合同得1分，此项最高得分20分。</w:t>
            </w:r>
          </w:p>
          <w:p>
            <w:pPr>
              <w:adjustRightInd w:val="0"/>
              <w:snapToGrid w:val="0"/>
              <w:rPr>
                <w:rFonts w:ascii="宋体" w:hAnsi="宋体" w:cs="宋体"/>
                <w:sz w:val="24"/>
              </w:rPr>
            </w:pPr>
            <w:r>
              <w:rPr>
                <w:rFonts w:hint="eastAsia" w:ascii="宋体" w:hAnsi="宋体" w:cs="宋体"/>
                <w:b/>
                <w:bCs/>
                <w:sz w:val="24"/>
              </w:rPr>
              <w:t>备注：合同或签到表时间为2021年4月至2022年12月；上一轮中标供应商提供的合同或签到表合并计算，签到表需业主单位盖章并填写时间。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449" w:type="pct"/>
            <w:vAlign w:val="center"/>
          </w:tcPr>
          <w:p>
            <w:pPr>
              <w:jc w:val="center"/>
              <w:rPr>
                <w:rFonts w:ascii="宋体" w:hAnsi="宋体" w:cs="宋体"/>
                <w:sz w:val="24"/>
              </w:rPr>
            </w:pPr>
            <w:r>
              <w:rPr>
                <w:rFonts w:hint="eastAsia" w:ascii="宋体" w:hAnsi="宋体" w:cs="宋体"/>
                <w:sz w:val="24"/>
              </w:rPr>
              <w:t>3</w:t>
            </w:r>
          </w:p>
        </w:tc>
        <w:tc>
          <w:tcPr>
            <w:tcW w:w="860" w:type="pct"/>
            <w:vAlign w:val="center"/>
          </w:tcPr>
          <w:p>
            <w:pPr>
              <w:jc w:val="center"/>
              <w:rPr>
                <w:rFonts w:ascii="宋体" w:hAnsi="宋体" w:cs="宋体"/>
                <w:sz w:val="24"/>
              </w:rPr>
            </w:pPr>
            <w:r>
              <w:rPr>
                <w:rFonts w:hint="eastAsia" w:ascii="宋体" w:hAnsi="宋体" w:cs="宋体"/>
                <w:sz w:val="24"/>
              </w:rPr>
              <w:t>线上成交率</w:t>
            </w:r>
          </w:p>
        </w:tc>
        <w:tc>
          <w:tcPr>
            <w:tcW w:w="392" w:type="pct"/>
            <w:vAlign w:val="center"/>
          </w:tcPr>
          <w:p>
            <w:pPr>
              <w:jc w:val="center"/>
              <w:rPr>
                <w:rFonts w:ascii="宋体" w:hAnsi="宋体" w:cs="宋体"/>
                <w:sz w:val="24"/>
              </w:rPr>
            </w:pPr>
            <w:r>
              <w:rPr>
                <w:rFonts w:hint="eastAsia" w:ascii="宋体" w:hAnsi="宋体" w:cs="宋体"/>
                <w:sz w:val="24"/>
              </w:rPr>
              <w:t>20</w:t>
            </w:r>
          </w:p>
        </w:tc>
        <w:tc>
          <w:tcPr>
            <w:tcW w:w="3297" w:type="pct"/>
            <w:vAlign w:val="center"/>
          </w:tcPr>
          <w:p>
            <w:pPr>
              <w:adjustRightInd w:val="0"/>
              <w:snapToGrid w:val="0"/>
              <w:rPr>
                <w:rFonts w:ascii="宋体" w:hAnsi="宋体" w:cs="宋体"/>
                <w:sz w:val="24"/>
              </w:rPr>
            </w:pPr>
            <w:r>
              <w:rPr>
                <w:rFonts w:hint="eastAsia" w:ascii="宋体" w:hAnsi="宋体" w:cs="宋体"/>
                <w:sz w:val="24"/>
              </w:rPr>
              <w:t>入围“南通市财政局2021-2022年度南通市本级行政事业单位国有资产评估及拍卖（租）服务定点机构”的供应商服务市本级行政事业单位拍卖（租）项目，在阿里拍卖平台成交的，1-5个项目，每个项目得3分；6个项目及以上的，每个项目得1分，此项最高得分20分。</w:t>
            </w:r>
          </w:p>
          <w:p>
            <w:pPr>
              <w:adjustRightInd w:val="0"/>
              <w:snapToGrid w:val="0"/>
              <w:rPr>
                <w:rFonts w:ascii="宋体" w:hAnsi="宋体" w:cs="宋体"/>
                <w:sz w:val="24"/>
              </w:rPr>
            </w:pPr>
            <w:r>
              <w:rPr>
                <w:rFonts w:hint="eastAsia" w:ascii="宋体" w:hAnsi="宋体" w:cs="宋体"/>
                <w:sz w:val="24"/>
              </w:rPr>
              <w:t>或：</w:t>
            </w:r>
          </w:p>
          <w:p>
            <w:pPr>
              <w:adjustRightInd w:val="0"/>
              <w:snapToGrid w:val="0"/>
              <w:rPr>
                <w:rFonts w:ascii="宋体" w:hAnsi="宋体" w:cs="宋体"/>
                <w:sz w:val="24"/>
              </w:rPr>
            </w:pPr>
            <w:r>
              <w:rPr>
                <w:rFonts w:hint="eastAsia" w:ascii="宋体" w:hAnsi="宋体" w:cs="宋体"/>
                <w:sz w:val="24"/>
              </w:rPr>
              <w:t>其他供应商提供国有资产拍卖服务，在阿里拍卖平台成交的，1-5个项目，每个项目得3分；6个项目及以上的，每个项目得1分，此项最高得分20分。</w:t>
            </w:r>
          </w:p>
          <w:p>
            <w:pPr>
              <w:adjustRightInd w:val="0"/>
              <w:snapToGrid w:val="0"/>
              <w:rPr>
                <w:rFonts w:ascii="宋体" w:hAnsi="宋体" w:cs="宋体"/>
                <w:sz w:val="24"/>
              </w:rPr>
            </w:pPr>
            <w:r>
              <w:rPr>
                <w:rFonts w:hint="eastAsia" w:ascii="宋体" w:hAnsi="宋体" w:cs="宋体"/>
                <w:b/>
                <w:bCs/>
                <w:sz w:val="24"/>
              </w:rPr>
              <w:t>备注：成交时间为2021年4月至2022年12月。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jc w:val="center"/>
              <w:rPr>
                <w:rFonts w:ascii="宋体" w:hAnsi="宋体" w:cs="宋体"/>
                <w:sz w:val="24"/>
              </w:rPr>
            </w:pPr>
            <w:r>
              <w:rPr>
                <w:rFonts w:hint="eastAsia" w:ascii="宋体" w:hAnsi="宋体" w:cs="宋体"/>
                <w:sz w:val="24"/>
              </w:rPr>
              <w:t>4</w:t>
            </w:r>
          </w:p>
        </w:tc>
        <w:tc>
          <w:tcPr>
            <w:tcW w:w="860" w:type="pct"/>
            <w:vAlign w:val="center"/>
          </w:tcPr>
          <w:p>
            <w:pPr>
              <w:jc w:val="center"/>
              <w:rPr>
                <w:rFonts w:ascii="宋体" w:hAnsi="宋体" w:cs="宋体"/>
                <w:sz w:val="24"/>
              </w:rPr>
            </w:pPr>
            <w:r>
              <w:rPr>
                <w:rFonts w:hint="eastAsia" w:ascii="宋体" w:hAnsi="宋体" w:cs="宋体"/>
                <w:sz w:val="24"/>
              </w:rPr>
              <w:t>拍卖师数量</w:t>
            </w:r>
          </w:p>
        </w:tc>
        <w:tc>
          <w:tcPr>
            <w:tcW w:w="392" w:type="pct"/>
            <w:vAlign w:val="center"/>
          </w:tcPr>
          <w:p>
            <w:pPr>
              <w:jc w:val="center"/>
              <w:rPr>
                <w:rFonts w:ascii="宋体" w:hAnsi="宋体" w:cs="宋体"/>
                <w:sz w:val="24"/>
              </w:rPr>
            </w:pPr>
            <w:r>
              <w:rPr>
                <w:rFonts w:hint="eastAsia" w:ascii="宋体" w:hAnsi="宋体" w:cs="宋体"/>
                <w:sz w:val="24"/>
              </w:rPr>
              <w:t>10</w:t>
            </w:r>
          </w:p>
        </w:tc>
        <w:tc>
          <w:tcPr>
            <w:tcW w:w="3297" w:type="pct"/>
            <w:vAlign w:val="center"/>
          </w:tcPr>
          <w:p>
            <w:pPr>
              <w:adjustRightInd w:val="0"/>
              <w:snapToGrid w:val="0"/>
              <w:rPr>
                <w:rFonts w:ascii="宋体" w:hAnsi="宋体" w:cs="宋体"/>
                <w:sz w:val="24"/>
              </w:rPr>
            </w:pPr>
            <w:r>
              <w:rPr>
                <w:rFonts w:hint="eastAsia" w:ascii="宋体" w:hAnsi="宋体" w:cs="宋体"/>
                <w:sz w:val="24"/>
              </w:rPr>
              <w:t>供应商具有正常执业的注册拍卖师5人（含）以上的，得10分；3人（含）至4人的，得7分；少于3人的，得3分。</w:t>
            </w:r>
          </w:p>
          <w:p>
            <w:pPr>
              <w:adjustRightInd w:val="0"/>
              <w:snapToGrid w:val="0"/>
              <w:rPr>
                <w:rFonts w:ascii="宋体" w:hAnsi="宋体" w:cs="宋体"/>
                <w:sz w:val="24"/>
              </w:rPr>
            </w:pPr>
            <w:r>
              <w:rPr>
                <w:rFonts w:hint="eastAsia" w:ascii="宋体" w:hAnsi="宋体" w:cs="宋体"/>
                <w:b/>
                <w:bCs/>
                <w:sz w:val="24"/>
              </w:rPr>
              <w:t>备注：以中国拍卖行业协会网址查询截图及企业为其在2022年6月至11月的社保缴费记录为准。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jc w:val="center"/>
              <w:rPr>
                <w:rFonts w:ascii="宋体" w:hAnsi="宋体" w:cs="宋体"/>
                <w:sz w:val="24"/>
              </w:rPr>
            </w:pPr>
            <w:r>
              <w:rPr>
                <w:rFonts w:hint="eastAsia" w:ascii="宋体" w:hAnsi="宋体" w:cs="宋体"/>
                <w:sz w:val="24"/>
              </w:rPr>
              <w:t>5</w:t>
            </w:r>
          </w:p>
        </w:tc>
        <w:tc>
          <w:tcPr>
            <w:tcW w:w="860" w:type="pct"/>
            <w:vAlign w:val="center"/>
          </w:tcPr>
          <w:p>
            <w:pPr>
              <w:jc w:val="center"/>
              <w:rPr>
                <w:rFonts w:ascii="宋体" w:hAnsi="宋体" w:cs="宋体"/>
                <w:sz w:val="24"/>
              </w:rPr>
            </w:pPr>
            <w:r>
              <w:rPr>
                <w:rFonts w:hint="eastAsia" w:ascii="宋体" w:hAnsi="宋体" w:cs="宋体"/>
                <w:sz w:val="24"/>
              </w:rPr>
              <w:t>服务响应</w:t>
            </w:r>
          </w:p>
        </w:tc>
        <w:tc>
          <w:tcPr>
            <w:tcW w:w="392" w:type="pct"/>
            <w:vAlign w:val="center"/>
          </w:tcPr>
          <w:p>
            <w:pPr>
              <w:jc w:val="center"/>
              <w:rPr>
                <w:rFonts w:ascii="宋体" w:hAnsi="宋体" w:cs="宋体"/>
                <w:sz w:val="24"/>
              </w:rPr>
            </w:pPr>
            <w:r>
              <w:rPr>
                <w:rFonts w:hint="eastAsia" w:ascii="宋体" w:hAnsi="宋体" w:cs="宋体"/>
                <w:sz w:val="24"/>
              </w:rPr>
              <w:t>5</w:t>
            </w:r>
          </w:p>
        </w:tc>
        <w:tc>
          <w:tcPr>
            <w:tcW w:w="3297" w:type="pct"/>
            <w:vAlign w:val="center"/>
          </w:tcPr>
          <w:p>
            <w:pPr>
              <w:adjustRightInd w:val="0"/>
              <w:snapToGrid w:val="0"/>
              <w:rPr>
                <w:rFonts w:ascii="宋体" w:hAnsi="宋体" w:cs="宋体"/>
                <w:sz w:val="24"/>
              </w:rPr>
            </w:pPr>
            <w:r>
              <w:rPr>
                <w:rFonts w:hint="eastAsia" w:ascii="宋体" w:hAnsi="宋体" w:cs="宋体"/>
                <w:sz w:val="24"/>
              </w:rPr>
              <w:t>供应商自接到采购人电话或信息通知后，到南通市行政中心车程在1小时（含）以内的，得5分；在1小时到2小时（含）之间的，得2分；超过2个小时的，得0分。提供供应商营业执照注册地或分公司营业执照注册地至南通市行政中心百度地图截图，时间以百度地图截图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jc w:val="center"/>
              <w:rPr>
                <w:rFonts w:ascii="宋体" w:hAnsi="宋体" w:cs="宋体"/>
                <w:sz w:val="24"/>
              </w:rPr>
            </w:pPr>
            <w:r>
              <w:rPr>
                <w:rFonts w:hint="eastAsia" w:ascii="宋体" w:hAnsi="宋体" w:cs="宋体"/>
                <w:sz w:val="24"/>
              </w:rPr>
              <w:t>6</w:t>
            </w:r>
          </w:p>
        </w:tc>
        <w:tc>
          <w:tcPr>
            <w:tcW w:w="860" w:type="pct"/>
            <w:vAlign w:val="center"/>
          </w:tcPr>
          <w:p>
            <w:pPr>
              <w:jc w:val="center"/>
              <w:rPr>
                <w:rFonts w:ascii="宋体" w:hAnsi="宋体" w:cs="宋体"/>
                <w:sz w:val="24"/>
              </w:rPr>
            </w:pPr>
            <w:r>
              <w:rPr>
                <w:rFonts w:hint="eastAsia" w:ascii="宋体" w:hAnsi="宋体" w:cs="宋体"/>
                <w:sz w:val="24"/>
              </w:rPr>
              <w:t>服务方案</w:t>
            </w:r>
          </w:p>
        </w:tc>
        <w:tc>
          <w:tcPr>
            <w:tcW w:w="392" w:type="pct"/>
            <w:vAlign w:val="center"/>
          </w:tcPr>
          <w:p>
            <w:pPr>
              <w:jc w:val="center"/>
              <w:rPr>
                <w:rFonts w:ascii="宋体" w:hAnsi="宋体" w:cs="宋体"/>
                <w:sz w:val="24"/>
              </w:rPr>
            </w:pPr>
            <w:r>
              <w:rPr>
                <w:rFonts w:hint="eastAsia" w:ascii="宋体" w:hAnsi="宋体" w:cs="宋体"/>
                <w:sz w:val="24"/>
              </w:rPr>
              <w:t>20</w:t>
            </w:r>
          </w:p>
        </w:tc>
        <w:tc>
          <w:tcPr>
            <w:tcW w:w="3297" w:type="pct"/>
            <w:vAlign w:val="center"/>
          </w:tcPr>
          <w:p>
            <w:pPr>
              <w:adjustRightInd w:val="0"/>
              <w:snapToGrid w:val="0"/>
              <w:rPr>
                <w:rFonts w:ascii="宋体" w:hAnsi="宋体" w:cs="宋体"/>
                <w:sz w:val="24"/>
              </w:rPr>
            </w:pPr>
            <w:r>
              <w:rPr>
                <w:rFonts w:hint="eastAsia" w:ascii="宋体" w:hAnsi="宋体" w:cs="宋体"/>
                <w:sz w:val="24"/>
              </w:rPr>
              <w:t>服务方案内容应包含实施方案、质量保证、服务承诺、项目团队、保密措施、增值服务及合理建议等内容。</w:t>
            </w:r>
          </w:p>
          <w:p>
            <w:pPr>
              <w:adjustRightInd w:val="0"/>
              <w:snapToGrid w:val="0"/>
              <w:rPr>
                <w:rFonts w:ascii="宋体" w:hAnsi="宋体" w:cs="宋体"/>
                <w:sz w:val="24"/>
              </w:rPr>
            </w:pPr>
            <w:r>
              <w:rPr>
                <w:rFonts w:hint="eastAsia" w:ascii="宋体" w:hAnsi="宋体" w:cs="宋体"/>
                <w:sz w:val="24"/>
              </w:rPr>
              <w:t>服务方案内容全面合理、针对性强得20分；</w:t>
            </w:r>
          </w:p>
          <w:p>
            <w:pPr>
              <w:adjustRightInd w:val="0"/>
              <w:snapToGrid w:val="0"/>
              <w:rPr>
                <w:rFonts w:ascii="宋体" w:hAnsi="宋体" w:cs="宋体"/>
                <w:sz w:val="24"/>
              </w:rPr>
            </w:pPr>
            <w:r>
              <w:rPr>
                <w:rFonts w:hint="eastAsia" w:ascii="宋体" w:hAnsi="宋体" w:cs="宋体"/>
                <w:sz w:val="24"/>
              </w:rPr>
              <w:t>服务方案内容较为全面，针对性较好得15分。</w:t>
            </w:r>
          </w:p>
          <w:p>
            <w:pPr>
              <w:adjustRightInd w:val="0"/>
              <w:snapToGrid w:val="0"/>
              <w:rPr>
                <w:rFonts w:ascii="宋体" w:hAnsi="宋体" w:cs="宋体"/>
                <w:sz w:val="24"/>
              </w:rPr>
            </w:pPr>
            <w:r>
              <w:rPr>
                <w:rFonts w:hint="eastAsia" w:ascii="宋体" w:hAnsi="宋体" w:cs="宋体"/>
                <w:sz w:val="24"/>
              </w:rPr>
              <w:t>服务方案内容较简单，针对性一般得10分。</w:t>
            </w:r>
          </w:p>
          <w:p>
            <w:pPr>
              <w:adjustRightInd w:val="0"/>
              <w:snapToGrid w:val="0"/>
              <w:rPr>
                <w:rFonts w:ascii="宋体" w:hAnsi="宋体" w:cs="宋体"/>
                <w:sz w:val="24"/>
              </w:rPr>
            </w:pPr>
            <w:r>
              <w:rPr>
                <w:rFonts w:hint="eastAsia" w:ascii="宋体" w:hAnsi="宋体" w:cs="宋体"/>
                <w:sz w:val="24"/>
              </w:rPr>
              <w:t>服务方案内容空洞，针对性差得5分。</w:t>
            </w:r>
          </w:p>
        </w:tc>
      </w:tr>
    </w:tbl>
    <w:p>
      <w:pPr>
        <w:ind w:firstLine="880" w:firstLineChars="200"/>
        <w:jc w:val="left"/>
        <w:textAlignment w:val="center"/>
        <w:rPr>
          <w:rFonts w:ascii="宋体" w:hAnsi="宋体" w:cs="宋体"/>
          <w:kern w:val="44"/>
          <w:sz w:val="44"/>
          <w:lang w:bidi="ar"/>
        </w:rPr>
      </w:pPr>
    </w:p>
    <w:p>
      <w:pPr>
        <w:spacing w:line="500" w:lineRule="exact"/>
        <w:ind w:firstLine="640"/>
        <w:rPr>
          <w:rFonts w:ascii="宋体" w:hAnsi="宋体" w:cs="宋体"/>
          <w:sz w:val="24"/>
        </w:rPr>
      </w:pPr>
      <w:r>
        <w:rPr>
          <w:rFonts w:hint="eastAsia" w:ascii="宋体" w:hAnsi="宋体" w:cs="宋体"/>
          <w:sz w:val="24"/>
        </w:rPr>
        <w:t>2.</w:t>
      </w:r>
    </w:p>
    <w:p>
      <w:pPr>
        <w:spacing w:line="500" w:lineRule="exact"/>
        <w:ind w:firstLine="640"/>
        <w:rPr>
          <w:rFonts w:ascii="宋体" w:hAnsi="宋体" w:cs="宋体"/>
          <w:sz w:val="24"/>
        </w:rPr>
      </w:pPr>
    </w:p>
    <w:p>
      <w:pPr>
        <w:spacing w:line="500" w:lineRule="exact"/>
        <w:ind w:firstLine="640"/>
        <w:rPr>
          <w:rFonts w:ascii="宋体" w:hAnsi="宋体" w:cs="宋体"/>
          <w:sz w:val="24"/>
        </w:rPr>
      </w:pPr>
      <w:r>
        <w:rPr>
          <w:rFonts w:hint="eastAsia" w:ascii="宋体" w:hAnsi="宋体" w:cs="宋体"/>
          <w:sz w:val="24"/>
        </w:rPr>
        <w:t>价格分：10分</w:t>
      </w:r>
    </w:p>
    <w:p>
      <w:pPr>
        <w:spacing w:line="500" w:lineRule="exact"/>
        <w:ind w:firstLine="640"/>
        <w:rPr>
          <w:rFonts w:ascii="宋体" w:hAnsi="宋体" w:cs="宋体"/>
          <w:sz w:val="24"/>
        </w:rPr>
      </w:pPr>
      <w:r>
        <w:rPr>
          <w:rFonts w:hint="eastAsia" w:ascii="宋体" w:hAnsi="宋体" w:cs="宋体"/>
          <w:sz w:val="24"/>
        </w:rPr>
        <w:t>综合评分法中的价格分统一采用低价优先法计算，即满足文件要求且报价有效最低的供应商的价格为基准价，其价格分为满分。其他供应商的价格分统一按照下列公式计算：</w:t>
      </w:r>
    </w:p>
    <w:p>
      <w:pPr>
        <w:spacing w:line="500" w:lineRule="exact"/>
        <w:ind w:firstLine="640"/>
        <w:rPr>
          <w:rFonts w:ascii="宋体" w:hAnsi="宋体" w:cs="宋体"/>
          <w:sz w:val="24"/>
        </w:rPr>
      </w:pPr>
      <w:r>
        <w:rPr>
          <w:rFonts w:hint="eastAsia" w:ascii="宋体" w:hAnsi="宋体" w:cs="宋体"/>
          <w:sz w:val="24"/>
        </w:rPr>
        <w:t>报价得分=（基准价/报价）×价格权值×100</w:t>
      </w:r>
    </w:p>
    <w:p>
      <w:pPr>
        <w:spacing w:line="500" w:lineRule="exact"/>
        <w:ind w:firstLine="640"/>
        <w:rPr>
          <w:rFonts w:ascii="宋体" w:hAnsi="宋体" w:cs="宋体"/>
          <w:sz w:val="24"/>
        </w:rPr>
      </w:pPr>
      <w:r>
        <w:rPr>
          <w:rFonts w:hint="eastAsia" w:ascii="宋体" w:hAnsi="宋体" w:cs="宋体"/>
          <w:sz w:val="24"/>
        </w:rPr>
        <w:t>废标条件：项目报价明显低于人工费用成本价或高出限价要求，经评审专家组认定后作为废标处理。</w:t>
      </w:r>
    </w:p>
    <w:p>
      <w:pPr>
        <w:spacing w:line="500" w:lineRule="exact"/>
        <w:ind w:firstLine="640"/>
        <w:rPr>
          <w:rFonts w:ascii="宋体" w:hAnsi="宋体" w:cs="宋体"/>
          <w:sz w:val="24"/>
        </w:rPr>
      </w:pPr>
      <w:r>
        <w:rPr>
          <w:rFonts w:hint="eastAsia" w:ascii="宋体" w:hAnsi="宋体" w:cs="宋体"/>
          <w:sz w:val="24"/>
        </w:rPr>
        <w:t>明显低于人工费用成本价评判标准为投标价格低于所有投标单位投标平均价格70%（如所有投标单位投标平均价为70%，投标价格低于70%×70%=49%的作废标处理）。</w:t>
      </w:r>
    </w:p>
    <w:p>
      <w:pPr>
        <w:spacing w:line="500" w:lineRule="exact"/>
        <w:ind w:firstLine="482" w:firstLineChars="200"/>
        <w:jc w:val="left"/>
        <w:textAlignment w:val="center"/>
        <w:rPr>
          <w:rFonts w:ascii="宋体" w:hAnsi="宋体" w:cs="宋体"/>
        </w:rPr>
      </w:pPr>
      <w:r>
        <w:rPr>
          <w:rFonts w:hint="eastAsia" w:ascii="宋体" w:hAnsi="宋体" w:cs="宋体"/>
          <w:b/>
          <w:bCs/>
          <w:color w:val="000000"/>
          <w:kern w:val="0"/>
          <w:sz w:val="24"/>
          <w:lang w:bidi="ar"/>
        </w:rPr>
        <w:t>注：入围征集单位最终结算费率统一以所有入围单位中次低价为成交费率。如入围机构不同意上述中标费率确定方式，视为放弃入围资格，入围资格顺延。</w:t>
      </w:r>
    </w:p>
    <w:p>
      <w:pPr>
        <w:pStyle w:val="23"/>
        <w:snapToGrid w:val="0"/>
        <w:spacing w:before="0" w:after="0" w:line="500" w:lineRule="exact"/>
        <w:ind w:left="0" w:right="0" w:firstLine="482" w:firstLineChars="200"/>
        <w:jc w:val="both"/>
        <w:rPr>
          <w:rFonts w:ascii="宋体" w:hAnsi="宋体" w:cs="宋体"/>
          <w:b/>
          <w:bCs/>
          <w:kern w:val="2"/>
        </w:rPr>
      </w:pPr>
      <w:r>
        <w:rPr>
          <w:rFonts w:hint="eastAsia" w:ascii="宋体" w:hAnsi="宋体" w:cs="宋体"/>
          <w:b/>
        </w:rPr>
        <w:t>（</w:t>
      </w:r>
      <w:r>
        <w:rPr>
          <w:rFonts w:hint="eastAsia" w:ascii="宋体" w:hAnsi="宋体" w:cs="宋体"/>
          <w:b/>
          <w:bCs/>
          <w:kern w:val="2"/>
        </w:rPr>
        <w:t>四</w:t>
      </w:r>
      <w:r>
        <w:rPr>
          <w:rFonts w:hint="eastAsia" w:ascii="宋体" w:hAnsi="宋体" w:cs="宋体"/>
          <w:b/>
        </w:rPr>
        <w:t>）</w:t>
      </w:r>
      <w:r>
        <w:rPr>
          <w:rFonts w:hint="eastAsia" w:ascii="宋体" w:hAnsi="宋体" w:cs="宋体"/>
          <w:b/>
          <w:bCs/>
          <w:kern w:val="2"/>
        </w:rPr>
        <w:t>政府采购政策功能落实</w:t>
      </w:r>
    </w:p>
    <w:p>
      <w:pPr>
        <w:adjustRightInd w:val="0"/>
        <w:snapToGrid w:val="0"/>
        <w:spacing w:line="500" w:lineRule="exact"/>
        <w:ind w:firstLine="570"/>
        <w:rPr>
          <w:rFonts w:ascii="宋体" w:hAnsi="宋体" w:cs="宋体"/>
          <w:bCs/>
          <w:sz w:val="24"/>
        </w:rPr>
      </w:pPr>
      <w:r>
        <w:rPr>
          <w:rFonts w:hint="eastAsia" w:ascii="宋体" w:hAnsi="宋体" w:cs="宋体"/>
          <w:bCs/>
          <w:sz w:val="24"/>
        </w:rPr>
        <w:t>1、小微型企业价格扣除</w:t>
      </w:r>
    </w:p>
    <w:p>
      <w:pPr>
        <w:adjustRightInd w:val="0"/>
        <w:snapToGrid w:val="0"/>
        <w:spacing w:line="500" w:lineRule="exact"/>
        <w:ind w:firstLine="570"/>
        <w:rPr>
          <w:rFonts w:ascii="宋体" w:hAnsi="宋体" w:cs="宋体"/>
          <w:bCs/>
          <w:sz w:val="24"/>
        </w:rPr>
      </w:pPr>
      <w:r>
        <w:rPr>
          <w:rFonts w:hint="eastAsia" w:ascii="宋体" w:hAnsi="宋体" w:cs="宋体"/>
          <w:bCs/>
          <w:sz w:val="24"/>
        </w:rPr>
        <w:t>（1）本项目对小型和微型企业产品给予20%的扣除价格，用扣除后的价格参与评审。</w:t>
      </w:r>
    </w:p>
    <w:p>
      <w:pPr>
        <w:adjustRightInd w:val="0"/>
        <w:snapToGrid w:val="0"/>
        <w:spacing w:line="500" w:lineRule="exact"/>
        <w:ind w:firstLine="570"/>
        <w:rPr>
          <w:rFonts w:ascii="宋体" w:hAnsi="宋体" w:cs="宋体"/>
          <w:bCs/>
          <w:sz w:val="24"/>
        </w:rPr>
      </w:pPr>
      <w:r>
        <w:rPr>
          <w:rFonts w:hint="eastAsia" w:ascii="宋体" w:hAnsi="宋体" w:cs="宋体"/>
          <w:bCs/>
          <w:sz w:val="24"/>
        </w:rPr>
        <w:t>（2）供应商需按照《政府采购促进中小企业发展管理办法》（财库﹝2020﹞46 号）的规定提供相应的《中小企业声明函》。</w:t>
      </w:r>
    </w:p>
    <w:p>
      <w:pPr>
        <w:adjustRightInd w:val="0"/>
        <w:snapToGrid w:val="0"/>
        <w:spacing w:line="500" w:lineRule="exact"/>
        <w:ind w:firstLine="570"/>
        <w:rPr>
          <w:rFonts w:ascii="宋体" w:hAnsi="宋体" w:cs="宋体"/>
          <w:bCs/>
          <w:sz w:val="24"/>
        </w:rPr>
      </w:pPr>
      <w:r>
        <w:rPr>
          <w:rFonts w:hint="eastAsia" w:ascii="宋体" w:hAnsi="宋体" w:cs="宋体"/>
          <w:bCs/>
          <w:sz w:val="24"/>
        </w:rPr>
        <w:t>（3）企业标准请参照《关于印发中小企业划型标准规定的通知》（工信部联企业[2011]300号）文件规定自行填写。</w:t>
      </w:r>
    </w:p>
    <w:p>
      <w:pPr>
        <w:adjustRightInd w:val="0"/>
        <w:snapToGrid w:val="0"/>
        <w:spacing w:line="500" w:lineRule="exact"/>
        <w:ind w:firstLine="570"/>
        <w:rPr>
          <w:rFonts w:ascii="宋体" w:hAnsi="宋体" w:cs="宋体"/>
          <w:bCs/>
          <w:sz w:val="24"/>
        </w:rPr>
      </w:pPr>
      <w:r>
        <w:rPr>
          <w:rFonts w:hint="eastAsia" w:ascii="宋体" w:hAnsi="宋体" w:cs="宋体"/>
          <w:bCs/>
          <w:sz w:val="24"/>
        </w:rPr>
        <w:t>2、残疾人福利单位价格扣除</w:t>
      </w:r>
    </w:p>
    <w:p>
      <w:pPr>
        <w:adjustRightInd w:val="0"/>
        <w:snapToGrid w:val="0"/>
        <w:spacing w:line="500" w:lineRule="exact"/>
        <w:ind w:firstLine="570"/>
        <w:rPr>
          <w:rFonts w:ascii="宋体" w:hAnsi="宋体" w:cs="宋体"/>
          <w:bCs/>
          <w:sz w:val="24"/>
        </w:rPr>
      </w:pPr>
      <w:r>
        <w:rPr>
          <w:rFonts w:hint="eastAsia" w:ascii="宋体" w:hAnsi="宋体" w:cs="宋体"/>
          <w:bCs/>
          <w:sz w:val="24"/>
        </w:rPr>
        <w:t>（1）本项目对残疾人福利性单位，给予20%的价格扣除，用扣除后的价格参与评审。</w:t>
      </w:r>
    </w:p>
    <w:p>
      <w:pPr>
        <w:adjustRightInd w:val="0"/>
        <w:snapToGrid w:val="0"/>
        <w:spacing w:line="500" w:lineRule="exact"/>
        <w:ind w:firstLine="570"/>
        <w:rPr>
          <w:rFonts w:ascii="宋体" w:hAnsi="宋体" w:cs="宋体"/>
          <w:bCs/>
          <w:sz w:val="24"/>
        </w:rPr>
      </w:pPr>
      <w:r>
        <w:rPr>
          <w:rFonts w:hint="eastAsia" w:ascii="宋体" w:hAnsi="宋体" w:cs="宋体"/>
          <w:bCs/>
          <w:sz w:val="24"/>
        </w:rPr>
        <w:t>（2）残疾人福利单位需按照采购文件的要求提供《残疾人福利性单位声明函》。</w:t>
      </w:r>
    </w:p>
    <w:p>
      <w:pPr>
        <w:adjustRightInd w:val="0"/>
        <w:snapToGrid w:val="0"/>
        <w:spacing w:line="500" w:lineRule="exact"/>
        <w:ind w:firstLine="570"/>
        <w:rPr>
          <w:rFonts w:ascii="宋体" w:hAnsi="宋体" w:cs="宋体"/>
          <w:bCs/>
          <w:sz w:val="24"/>
        </w:rPr>
      </w:pPr>
      <w:r>
        <w:rPr>
          <w:rFonts w:hint="eastAsia" w:ascii="宋体" w:hAnsi="宋体" w:cs="宋体"/>
          <w:bCs/>
          <w:sz w:val="24"/>
        </w:rPr>
        <w:t>（3）残疾人福利单位标准请参照《关于促进残疾人就业政府采购政策的通知》（财库〔2017〕141号）。</w:t>
      </w:r>
    </w:p>
    <w:p>
      <w:pPr>
        <w:adjustRightInd w:val="0"/>
        <w:snapToGrid w:val="0"/>
        <w:spacing w:line="500" w:lineRule="exact"/>
        <w:ind w:firstLine="570"/>
        <w:rPr>
          <w:rFonts w:ascii="宋体" w:hAnsi="宋体" w:cs="宋体"/>
          <w:bCs/>
          <w:sz w:val="24"/>
        </w:rPr>
      </w:pPr>
      <w:r>
        <w:rPr>
          <w:rFonts w:hint="eastAsia" w:ascii="宋体" w:hAnsi="宋体" w:cs="宋体"/>
          <w:bCs/>
          <w:sz w:val="24"/>
        </w:rPr>
        <w:t>3、监狱和戒毒企业价格扣除</w:t>
      </w:r>
    </w:p>
    <w:p>
      <w:pPr>
        <w:adjustRightInd w:val="0"/>
        <w:snapToGrid w:val="0"/>
        <w:spacing w:line="500" w:lineRule="exact"/>
        <w:ind w:firstLine="570"/>
        <w:rPr>
          <w:rFonts w:ascii="宋体" w:hAnsi="宋体" w:cs="宋体"/>
          <w:bCs/>
          <w:sz w:val="24"/>
        </w:rPr>
      </w:pPr>
      <w:r>
        <w:rPr>
          <w:rFonts w:hint="eastAsia" w:ascii="宋体" w:hAnsi="宋体" w:cs="宋体"/>
          <w:bCs/>
          <w:sz w:val="24"/>
        </w:rPr>
        <w:t>（1）本项目对监狱和戒毒企业（简称监狱企业）给予20%的价格扣除，用扣除后的价格参与评审。</w:t>
      </w:r>
    </w:p>
    <w:p>
      <w:pPr>
        <w:adjustRightInd w:val="0"/>
        <w:snapToGrid w:val="0"/>
        <w:spacing w:line="500" w:lineRule="exact"/>
        <w:ind w:firstLine="570"/>
        <w:rPr>
          <w:rFonts w:ascii="宋体" w:hAnsi="宋体" w:cs="宋体"/>
          <w:bCs/>
          <w:sz w:val="24"/>
        </w:rPr>
      </w:pPr>
      <w:r>
        <w:rPr>
          <w:rFonts w:hint="eastAsia" w:ascii="宋体" w:hAnsi="宋体" w:cs="宋体"/>
          <w:bCs/>
          <w:sz w:val="24"/>
        </w:rPr>
        <w:t>（2）监狱企业参加政府采购活动时，需提供由省级以上监狱管理局、戒毒管理局(含新疆生产建设兵团)出具的属于监狱企业的证明文件。供应商如不提供上述证明文件，价格将不做相应扣除。</w:t>
      </w:r>
    </w:p>
    <w:p>
      <w:pPr>
        <w:adjustRightInd w:val="0"/>
        <w:snapToGrid w:val="0"/>
        <w:spacing w:line="500" w:lineRule="exact"/>
        <w:ind w:firstLine="570"/>
        <w:rPr>
          <w:rFonts w:ascii="宋体" w:hAnsi="宋体" w:cs="宋体"/>
          <w:bCs/>
          <w:sz w:val="24"/>
        </w:rPr>
      </w:pPr>
      <w:r>
        <w:rPr>
          <w:rFonts w:hint="eastAsia" w:ascii="宋体" w:hAnsi="宋体" w:cs="宋体"/>
          <w:bCs/>
          <w:sz w:val="24"/>
        </w:rPr>
        <w:t>（3）监狱企业标准请参照《关于政府采购支持监狱企业发展有关问题的通知》（财库[2014]68号）。</w:t>
      </w:r>
    </w:p>
    <w:p>
      <w:pPr>
        <w:adjustRightInd w:val="0"/>
        <w:snapToGrid w:val="0"/>
        <w:spacing w:line="500" w:lineRule="exact"/>
        <w:ind w:firstLine="570"/>
        <w:rPr>
          <w:rFonts w:ascii="宋体" w:hAnsi="宋体" w:cs="宋体"/>
          <w:bCs/>
          <w:sz w:val="24"/>
        </w:rPr>
      </w:pPr>
      <w:r>
        <w:rPr>
          <w:rFonts w:hint="eastAsia" w:ascii="宋体" w:hAnsi="宋体" w:cs="宋体"/>
          <w:bCs/>
          <w:sz w:val="24"/>
        </w:rPr>
        <w:t>4、残疾人福利单位、监狱企业属于小型、微型企业的，不重复享受政策。</w:t>
      </w:r>
    </w:p>
    <w:p>
      <w:pPr>
        <w:adjustRightInd w:val="0"/>
        <w:snapToGrid w:val="0"/>
        <w:spacing w:line="500" w:lineRule="exact"/>
        <w:ind w:firstLine="570"/>
        <w:rPr>
          <w:rFonts w:ascii="宋体" w:hAnsi="宋体" w:cs="宋体"/>
          <w:bCs/>
          <w:sz w:val="24"/>
        </w:rPr>
      </w:pPr>
      <w:r>
        <w:rPr>
          <w:rFonts w:hint="eastAsia" w:ascii="宋体" w:hAnsi="宋体" w:cs="宋体"/>
          <w:bCs/>
          <w:sz w:val="24"/>
        </w:rPr>
        <w:t>5、大中型企业与小微企业（残疾人福利单位、监狱企业）组成联合体或者大中型企业向小微企业（残疾人福利单位、监狱企业）分包的，对联合协议或者分包意向协议约定小微企业合同份额占到合同总金额30%以上的，对联合体或者大中型企业的报价给予6%的扣除，用扣除后的价格参与评审。</w:t>
      </w:r>
    </w:p>
    <w:p>
      <w:pPr>
        <w:adjustRightInd w:val="0"/>
        <w:snapToGrid w:val="0"/>
        <w:spacing w:line="500" w:lineRule="exact"/>
        <w:ind w:firstLine="570"/>
        <w:rPr>
          <w:rFonts w:ascii="宋体" w:hAnsi="宋体" w:cs="宋体"/>
          <w:bCs/>
          <w:sz w:val="24"/>
        </w:rPr>
      </w:pPr>
      <w:r>
        <w:rPr>
          <w:rFonts w:hint="eastAsia" w:ascii="宋体" w:hAnsi="宋体" w:cs="宋体"/>
          <w:bCs/>
          <w:sz w:val="24"/>
        </w:rPr>
        <w:t>6、联合体各方均为小型、微型企业（残疾人福利单位、监狱企业）的，联合体享受上述同类价格扣除，用扣除后的价格参与评审。</w:t>
      </w:r>
    </w:p>
    <w:p>
      <w:pPr>
        <w:adjustRightInd w:val="0"/>
        <w:snapToGrid w:val="0"/>
        <w:spacing w:line="500" w:lineRule="exact"/>
        <w:ind w:firstLine="570"/>
        <w:rPr>
          <w:rFonts w:ascii="宋体" w:hAnsi="宋体" w:cs="宋体"/>
          <w:bCs/>
          <w:sz w:val="24"/>
        </w:rPr>
      </w:pPr>
      <w:r>
        <w:rPr>
          <w:rFonts w:hint="eastAsia" w:ascii="宋体" w:hAnsi="宋体" w:cs="宋体"/>
          <w:bCs/>
          <w:sz w:val="24"/>
        </w:rPr>
        <w:t>7、专门面向中小企业采购的项目或者采购包，不再执行价格评审优惠的扶持政策。</w:t>
      </w:r>
    </w:p>
    <w:p>
      <w:pPr>
        <w:adjustRightInd w:val="0"/>
        <w:snapToGrid w:val="0"/>
        <w:spacing w:line="500" w:lineRule="exact"/>
        <w:ind w:firstLine="570"/>
        <w:rPr>
          <w:rFonts w:ascii="宋体" w:hAnsi="宋体" w:cs="宋体"/>
          <w:bCs/>
          <w:sz w:val="24"/>
        </w:rPr>
      </w:pPr>
      <w:r>
        <w:rPr>
          <w:rFonts w:hint="eastAsia" w:ascii="宋体" w:hAnsi="宋体" w:cs="宋体"/>
          <w:bCs/>
          <w:sz w:val="24"/>
        </w:rPr>
        <w:t>8、根据《江苏省政府采购信用管理暂行办法》的规定，供应商信用评价结果为三星的扣2分，评价结果为二星的扣3分，评价结果为一星的扣4分。</w:t>
      </w:r>
    </w:p>
    <w:p>
      <w:pPr>
        <w:adjustRightInd w:val="0"/>
        <w:snapToGrid w:val="0"/>
        <w:spacing w:line="500" w:lineRule="exact"/>
        <w:ind w:firstLine="570"/>
        <w:rPr>
          <w:rFonts w:ascii="宋体" w:hAnsi="宋体" w:cs="宋体"/>
          <w:bCs/>
          <w:sz w:val="24"/>
        </w:rPr>
      </w:pPr>
      <w:r>
        <w:rPr>
          <w:rFonts w:hint="eastAsia" w:ascii="宋体" w:hAnsi="宋体" w:cs="宋体"/>
          <w:b/>
          <w:sz w:val="24"/>
        </w:rPr>
        <w:t>（五）入围供应商的确定</w:t>
      </w:r>
    </w:p>
    <w:p>
      <w:pPr>
        <w:adjustRightInd w:val="0"/>
        <w:snapToGrid w:val="0"/>
        <w:spacing w:line="500" w:lineRule="exact"/>
        <w:ind w:firstLine="570"/>
        <w:rPr>
          <w:rFonts w:ascii="宋体" w:hAnsi="宋体" w:cs="宋体"/>
          <w:sz w:val="24"/>
        </w:rPr>
      </w:pPr>
      <w:r>
        <w:rPr>
          <w:rFonts w:hint="eastAsia" w:ascii="宋体" w:hAnsi="宋体" w:cs="宋体"/>
          <w:sz w:val="24"/>
        </w:rPr>
        <w:t>评委会汇总各评委评分后，每标段按照得分从高到低的顺序推荐入围候选人，并编写评审报告。</w:t>
      </w:r>
    </w:p>
    <w:p>
      <w:pPr>
        <w:adjustRightInd w:val="0"/>
        <w:snapToGrid w:val="0"/>
        <w:spacing w:line="500" w:lineRule="exact"/>
        <w:ind w:firstLine="570"/>
        <w:rPr>
          <w:rFonts w:ascii="宋体" w:hAnsi="宋体" w:cs="宋体"/>
          <w:sz w:val="24"/>
        </w:rPr>
      </w:pPr>
      <w:r>
        <w:rPr>
          <w:rFonts w:hint="eastAsia" w:ascii="宋体" w:hAnsi="宋体" w:cs="宋体"/>
          <w:sz w:val="24"/>
        </w:rPr>
        <w:t>采购人委托评审委员会直接确定入围候选人为第一阶段入围供应商。</w:t>
      </w:r>
    </w:p>
    <w:p>
      <w:pPr>
        <w:adjustRightInd w:val="0"/>
        <w:snapToGrid w:val="0"/>
        <w:spacing w:line="500" w:lineRule="exact"/>
        <w:ind w:firstLine="570"/>
        <w:rPr>
          <w:rFonts w:ascii="宋体" w:hAnsi="宋体" w:cs="宋体"/>
          <w:sz w:val="24"/>
          <w:highlight w:val="yellow"/>
        </w:rPr>
      </w:pPr>
      <w:r>
        <w:rPr>
          <w:rFonts w:hint="eastAsia" w:ascii="宋体" w:hAnsi="宋体" w:cs="宋体"/>
          <w:sz w:val="24"/>
        </w:rPr>
        <w:t>每标段</w:t>
      </w:r>
      <w:r>
        <w:rPr>
          <w:rFonts w:hint="eastAsia" w:ascii="宋体" w:hAnsi="宋体" w:cs="宋体"/>
          <w:sz w:val="24"/>
          <w:lang w:eastAsia="zh-Hans"/>
        </w:rPr>
        <w:t>实质性响应</w:t>
      </w:r>
      <w:r>
        <w:rPr>
          <w:rFonts w:hint="eastAsia" w:ascii="宋体" w:hAnsi="宋体" w:cs="宋体"/>
          <w:sz w:val="24"/>
        </w:rPr>
        <w:t>的投标单位13家及以上的，入围10家；每标段</w:t>
      </w:r>
      <w:r>
        <w:rPr>
          <w:rFonts w:hint="eastAsia" w:ascii="宋体" w:hAnsi="宋体" w:cs="宋体"/>
          <w:sz w:val="24"/>
          <w:lang w:eastAsia="zh-Hans"/>
        </w:rPr>
        <w:t>实质性响应</w:t>
      </w:r>
      <w:r>
        <w:rPr>
          <w:rFonts w:hint="eastAsia" w:ascii="宋体" w:hAnsi="宋体" w:cs="宋体"/>
          <w:sz w:val="24"/>
        </w:rPr>
        <w:t>的投标单位13家以下的，入围80%（四舍五入）。</w:t>
      </w:r>
    </w:p>
    <w:p>
      <w:pPr>
        <w:adjustRightInd w:val="0"/>
        <w:snapToGrid w:val="0"/>
        <w:spacing w:line="500" w:lineRule="exact"/>
        <w:ind w:firstLine="570"/>
        <w:rPr>
          <w:rFonts w:ascii="宋体" w:hAnsi="宋体" w:cs="宋体"/>
          <w:b/>
          <w:bCs/>
          <w:sz w:val="24"/>
        </w:rPr>
      </w:pPr>
      <w:r>
        <w:rPr>
          <w:rFonts w:hint="eastAsia" w:ascii="宋体" w:hAnsi="宋体" w:cs="宋体"/>
          <w:b/>
          <w:bCs/>
          <w:sz w:val="24"/>
        </w:rPr>
        <w:t>提交响应文件和符合资格条件、实质性要求的供应商应当均不少于2家，且至少淘汰一家供应商。当不足 10家时，入围单位按照实际供应商家数，淘汰比例为20%，四舍五入。</w:t>
      </w:r>
    </w:p>
    <w:p>
      <w:pPr>
        <w:adjustRightInd w:val="0"/>
        <w:snapToGrid w:val="0"/>
        <w:spacing w:line="500" w:lineRule="exact"/>
        <w:ind w:firstLine="477" w:firstLineChars="198"/>
        <w:rPr>
          <w:rFonts w:ascii="宋体" w:hAnsi="宋体" w:cs="宋体"/>
          <w:b/>
          <w:sz w:val="24"/>
        </w:rPr>
      </w:pPr>
      <w:r>
        <w:rPr>
          <w:rFonts w:hint="eastAsia" w:ascii="宋体" w:hAnsi="宋体" w:cs="宋体"/>
          <w:b/>
          <w:sz w:val="24"/>
        </w:rPr>
        <w:t>（六）采购人代表宣布评审结果。</w:t>
      </w:r>
    </w:p>
    <w:p>
      <w:pPr>
        <w:adjustRightInd w:val="0"/>
        <w:snapToGrid w:val="0"/>
        <w:spacing w:line="500" w:lineRule="exact"/>
        <w:ind w:firstLine="482" w:firstLineChars="200"/>
        <w:rPr>
          <w:rFonts w:ascii="宋体" w:hAnsi="宋体" w:cs="宋体"/>
          <w:b/>
          <w:sz w:val="24"/>
        </w:rPr>
      </w:pPr>
      <w:r>
        <w:rPr>
          <w:rFonts w:hint="eastAsia" w:ascii="宋体" w:hAnsi="宋体" w:cs="宋体"/>
          <w:b/>
          <w:sz w:val="24"/>
        </w:rPr>
        <w:t>（七）公告入围结果</w:t>
      </w:r>
    </w:p>
    <w:p>
      <w:pPr>
        <w:adjustRightInd w:val="0"/>
        <w:snapToGrid w:val="0"/>
        <w:spacing w:line="500" w:lineRule="exact"/>
        <w:ind w:firstLine="570"/>
        <w:rPr>
          <w:rFonts w:ascii="宋体" w:hAnsi="宋体" w:cs="宋体"/>
          <w:sz w:val="24"/>
        </w:rPr>
      </w:pPr>
      <w:r>
        <w:rPr>
          <w:rFonts w:hint="eastAsia" w:ascii="宋体" w:hAnsi="宋体" w:cs="宋体"/>
          <w:sz w:val="24"/>
        </w:rPr>
        <w:t>自确定第一阶段入围供应商之日起2个工作日内，在南通市财政局官网公告入围结果，公告期限为1个工作日。</w:t>
      </w:r>
    </w:p>
    <w:p>
      <w:pPr>
        <w:adjustRightInd w:val="0"/>
        <w:snapToGrid w:val="0"/>
        <w:spacing w:line="500" w:lineRule="exact"/>
        <w:ind w:firstLine="482" w:firstLineChars="200"/>
        <w:rPr>
          <w:rFonts w:ascii="宋体" w:hAnsi="宋体" w:cs="宋体"/>
          <w:b/>
          <w:bCs/>
          <w:sz w:val="24"/>
        </w:rPr>
      </w:pPr>
      <w:r>
        <w:rPr>
          <w:rFonts w:hint="eastAsia" w:ascii="宋体" w:hAnsi="宋体" w:cs="宋体"/>
          <w:b/>
          <w:sz w:val="24"/>
        </w:rPr>
        <w:t>（</w:t>
      </w:r>
      <w:r>
        <w:rPr>
          <w:rFonts w:hint="eastAsia" w:ascii="宋体" w:hAnsi="宋体" w:cs="宋体"/>
          <w:b/>
          <w:bCs/>
          <w:sz w:val="24"/>
        </w:rPr>
        <w:t>八</w:t>
      </w:r>
      <w:r>
        <w:rPr>
          <w:rFonts w:hint="eastAsia" w:ascii="宋体" w:hAnsi="宋体" w:cs="宋体"/>
          <w:b/>
          <w:sz w:val="24"/>
        </w:rPr>
        <w:t>）</w:t>
      </w:r>
      <w:r>
        <w:rPr>
          <w:rFonts w:hint="eastAsia" w:ascii="宋体" w:hAnsi="宋体" w:cs="宋体"/>
          <w:b/>
          <w:bCs/>
          <w:sz w:val="24"/>
        </w:rPr>
        <w:t>发放入围通知书</w:t>
      </w:r>
    </w:p>
    <w:p>
      <w:pPr>
        <w:adjustRightInd w:val="0"/>
        <w:snapToGrid w:val="0"/>
        <w:spacing w:line="500" w:lineRule="exact"/>
        <w:ind w:firstLine="600" w:firstLineChars="250"/>
        <w:rPr>
          <w:rFonts w:ascii="宋体" w:hAnsi="宋体" w:cs="宋体"/>
          <w:bCs/>
          <w:color w:val="FF0000"/>
          <w:sz w:val="24"/>
        </w:rPr>
      </w:pPr>
      <w:r>
        <w:rPr>
          <w:rFonts w:hint="eastAsia" w:ascii="宋体" w:hAnsi="宋体" w:cs="宋体"/>
          <w:sz w:val="24"/>
        </w:rPr>
        <w:t>公告入围结果的同时，招标代理</w:t>
      </w:r>
      <w:r>
        <w:rPr>
          <w:rFonts w:hint="eastAsia" w:ascii="宋体" w:hAnsi="宋体" w:cs="宋体"/>
          <w:bCs/>
          <w:sz w:val="24"/>
        </w:rPr>
        <w:t>向入围供应商发放入围通知书。</w:t>
      </w:r>
    </w:p>
    <w:p>
      <w:pPr>
        <w:adjustRightInd w:val="0"/>
        <w:snapToGrid w:val="0"/>
        <w:spacing w:line="500" w:lineRule="exact"/>
        <w:ind w:firstLine="570"/>
        <w:rPr>
          <w:rFonts w:ascii="宋体" w:hAnsi="宋体" w:cs="宋体"/>
          <w:sz w:val="24"/>
        </w:rPr>
      </w:pPr>
      <w:r>
        <w:rPr>
          <w:rFonts w:hint="eastAsia" w:ascii="宋体" w:hAnsi="宋体" w:cs="宋体"/>
          <w:sz w:val="24"/>
        </w:rPr>
        <w:t>入围通知书发出后，采购人不得违法改变入围结果，入围供应商无正当理由不得放弃中标。</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入围供应商无正当理由放弃封闭式框架协议入围资格或者退出封闭式框架协议的，依照政府采购法等有关法律、行政法规追究法律责任，且该供应商不得参与采购人组织的下一轮采购。</w:t>
      </w:r>
    </w:p>
    <w:p>
      <w:pPr>
        <w:adjustRightInd w:val="0"/>
        <w:snapToGrid w:val="0"/>
        <w:spacing w:line="500" w:lineRule="exact"/>
        <w:ind w:firstLine="482" w:firstLineChars="200"/>
        <w:rPr>
          <w:rFonts w:ascii="宋体" w:hAnsi="宋体" w:cs="宋体"/>
          <w:b/>
          <w:sz w:val="24"/>
        </w:rPr>
      </w:pPr>
      <w:r>
        <w:rPr>
          <w:rFonts w:hint="eastAsia" w:ascii="宋体" w:hAnsi="宋体" w:cs="宋体"/>
          <w:b/>
          <w:sz w:val="24"/>
        </w:rPr>
        <w:t>（九）确定第二阶段供应商的方式</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本项目采用框架协议采购，通过公开征集程序，</w:t>
      </w:r>
      <w:r>
        <w:rPr>
          <w:rFonts w:hint="eastAsia" w:ascii="宋体" w:hAnsi="宋体" w:cs="宋体"/>
          <w:sz w:val="24"/>
        </w:rPr>
        <w:t>每标段</w:t>
      </w:r>
      <w:r>
        <w:rPr>
          <w:rFonts w:hint="eastAsia" w:ascii="宋体" w:hAnsi="宋体" w:cs="宋体"/>
          <w:sz w:val="24"/>
          <w:lang w:eastAsia="zh-Hans"/>
        </w:rPr>
        <w:t>实质性响应</w:t>
      </w:r>
      <w:r>
        <w:rPr>
          <w:rFonts w:hint="eastAsia" w:ascii="宋体" w:hAnsi="宋体" w:cs="宋体"/>
          <w:sz w:val="24"/>
        </w:rPr>
        <w:t>的投标单位13家及以上的，入围10家；每标段</w:t>
      </w:r>
      <w:r>
        <w:rPr>
          <w:rFonts w:hint="eastAsia" w:ascii="宋体" w:hAnsi="宋体" w:cs="宋体"/>
          <w:sz w:val="24"/>
          <w:lang w:eastAsia="zh-Hans"/>
        </w:rPr>
        <w:t>实质性响应</w:t>
      </w:r>
      <w:r>
        <w:rPr>
          <w:rFonts w:hint="eastAsia" w:ascii="宋体" w:hAnsi="宋体" w:cs="宋体"/>
          <w:sz w:val="24"/>
        </w:rPr>
        <w:t>的投标单位13家以下的，入围80%（四舍五入），</w:t>
      </w:r>
      <w:r>
        <w:rPr>
          <w:rFonts w:hint="eastAsia" w:ascii="宋体" w:hAnsi="宋体" w:cs="宋体"/>
          <w:bCs/>
          <w:sz w:val="24"/>
        </w:rPr>
        <w:t>作为第一阶段入围供应商并订立框架协议。</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确定第二阶段供应商的方式</w:t>
      </w:r>
      <w:r>
        <w:rPr>
          <w:rFonts w:hint="eastAsia" w:ascii="宋体" w:hAnsi="宋体" w:cs="宋体"/>
          <w:b/>
          <w:sz w:val="24"/>
        </w:rPr>
        <w:t>：直接选定。</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第二阶段供应商应当由委托人根据入围供应商服务质量、服务评价等因素，从第一阶段入围供应商中</w:t>
      </w:r>
      <w:r>
        <w:rPr>
          <w:rFonts w:hint="eastAsia" w:ascii="宋体" w:hAnsi="宋体" w:cs="宋体"/>
          <w:b/>
          <w:sz w:val="24"/>
        </w:rPr>
        <w:t>直接选定，选定供应商不得拒绝提供服务，如无故拒绝提供服务，该供应商不得参与采购人组织的下一轮采购</w:t>
      </w:r>
      <w:r>
        <w:rPr>
          <w:rFonts w:hint="eastAsia" w:ascii="宋体" w:hAnsi="宋体" w:cs="宋体"/>
          <w:bCs/>
          <w:sz w:val="24"/>
        </w:rPr>
        <w:t>。</w:t>
      </w:r>
    </w:p>
    <w:p>
      <w:pPr>
        <w:adjustRightInd w:val="0"/>
        <w:snapToGrid w:val="0"/>
        <w:spacing w:line="500" w:lineRule="exact"/>
        <w:ind w:firstLine="482" w:firstLineChars="200"/>
        <w:rPr>
          <w:rFonts w:ascii="宋体" w:hAnsi="宋体" w:cs="宋体"/>
          <w:b/>
          <w:sz w:val="24"/>
        </w:rPr>
      </w:pPr>
      <w:r>
        <w:rPr>
          <w:rFonts w:hint="eastAsia" w:ascii="宋体" w:hAnsi="宋体" w:cs="宋体"/>
          <w:b/>
          <w:sz w:val="24"/>
        </w:rPr>
        <w:t>（十）入围供应商的清退和补充规则</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1.入围供应商须接受采购人对其履行框架协议和采购合同情况的反馈与评价，反馈与评价将作为第二阶段直接选定供应商的参考；协议期内经采购人评价不合格的，采购人有权清退该供应商。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2.除剩余入围供应商不足入围供应商总数70%且影响框架协议执行的情形外，框架协议有效期内，采购人不得补充征集供应商。</w:t>
      </w:r>
    </w:p>
    <w:p>
      <w:pPr>
        <w:adjustRightInd w:val="0"/>
        <w:snapToGrid w:val="0"/>
        <w:spacing w:line="500" w:lineRule="exact"/>
        <w:ind w:firstLine="480" w:firstLineChars="200"/>
        <w:rPr>
          <w:rFonts w:ascii="宋体" w:hAnsi="宋体" w:cs="宋体"/>
          <w:bCs/>
          <w:sz w:val="24"/>
        </w:rPr>
      </w:pPr>
      <w:r>
        <w:rPr>
          <w:rFonts w:hint="eastAsia" w:ascii="宋体" w:hAnsi="宋体" w:cs="宋体"/>
          <w:bCs/>
          <w:sz w:val="24"/>
        </w:rPr>
        <w:t>3.采购人补充征集供应商的，补充征集的条件、程序、评审方法和淘汰比例与本次征集相同。补充征集遵守原框架协议的有效期。补充征集期间，原框架协议继续履行。</w:t>
      </w:r>
    </w:p>
    <w:p>
      <w:pPr>
        <w:pStyle w:val="2"/>
        <w:rPr>
          <w:rFonts w:ascii="宋体" w:hAnsi="宋体" w:cs="宋体"/>
        </w:rPr>
      </w:pPr>
    </w:p>
    <w:p>
      <w:pPr>
        <w:pStyle w:val="10"/>
        <w:tabs>
          <w:tab w:val="left" w:pos="1050"/>
          <w:tab w:val="right" w:leader="dot" w:pos="9402"/>
        </w:tabs>
        <w:spacing w:line="360" w:lineRule="auto"/>
        <w:ind w:left="0" w:leftChars="0"/>
        <w:jc w:val="center"/>
        <w:outlineLvl w:val="0"/>
        <w:rPr>
          <w:rFonts w:ascii="宋体" w:hAnsi="宋体" w:cs="宋体"/>
          <w:b/>
          <w:bCs/>
          <w:w w:val="80"/>
          <w:sz w:val="24"/>
        </w:rPr>
      </w:pPr>
      <w:r>
        <w:rPr>
          <w:rFonts w:hint="eastAsia" w:ascii="宋体" w:hAnsi="宋体" w:cs="宋体"/>
          <w:b/>
          <w:sz w:val="36"/>
          <w:szCs w:val="36"/>
        </w:rPr>
        <w:br w:type="page"/>
      </w:r>
      <w:r>
        <w:rPr>
          <w:rFonts w:hint="eastAsia" w:ascii="宋体" w:hAnsi="宋体" w:cs="宋体"/>
          <w:b/>
          <w:sz w:val="36"/>
          <w:szCs w:val="36"/>
        </w:rPr>
        <w:t>第五部分 协议主要条款</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spacing w:before="140" w:line="281" w:lineRule="auto"/>
        <w:ind w:left="857" w:leftChars="408" w:right="171" w:firstLine="388" w:firstLineChars="100"/>
        <w:jc w:val="center"/>
        <w:rPr>
          <w:rFonts w:ascii="宋体" w:hAnsi="宋体" w:cs="宋体"/>
          <w:sz w:val="43"/>
          <w:szCs w:val="43"/>
        </w:rPr>
      </w:pPr>
      <w:r>
        <w:rPr>
          <w:rFonts w:hint="eastAsia" w:ascii="宋体" w:hAnsi="宋体" w:cs="宋体"/>
          <w:spacing w:val="-21"/>
          <w:sz w:val="43"/>
          <w:szCs w:val="43"/>
        </w:rPr>
        <w:t>南通市财政局市本级行政事业单位资产评估、拍卖（租）服务单位征集项目协议</w:t>
      </w:r>
    </w:p>
    <w:p>
      <w:pPr>
        <w:spacing w:line="249" w:lineRule="auto"/>
        <w:rPr>
          <w:rFonts w:ascii="宋体" w:hAnsi="宋体" w:cs="宋体"/>
          <w:szCs w:val="21"/>
          <w:highlight w:val="yellow"/>
        </w:rPr>
      </w:pPr>
    </w:p>
    <w:p>
      <w:pPr>
        <w:spacing w:line="249" w:lineRule="auto"/>
        <w:rPr>
          <w:rFonts w:ascii="宋体" w:hAnsi="宋体" w:cs="宋体"/>
          <w:szCs w:val="21"/>
        </w:rPr>
      </w:pPr>
    </w:p>
    <w:p>
      <w:pPr>
        <w:spacing w:line="249" w:lineRule="auto"/>
        <w:rPr>
          <w:rFonts w:ascii="宋体" w:hAnsi="宋体" w:cs="宋体"/>
          <w:szCs w:val="21"/>
        </w:rPr>
      </w:pPr>
    </w:p>
    <w:p>
      <w:pPr>
        <w:spacing w:line="249" w:lineRule="auto"/>
        <w:rPr>
          <w:rFonts w:ascii="宋体" w:hAnsi="宋体" w:cs="宋体"/>
          <w:szCs w:val="21"/>
        </w:rPr>
      </w:pPr>
    </w:p>
    <w:p>
      <w:pPr>
        <w:spacing w:line="249" w:lineRule="auto"/>
        <w:rPr>
          <w:rFonts w:ascii="宋体" w:hAnsi="宋体" w:cs="宋体"/>
          <w:szCs w:val="21"/>
        </w:rPr>
      </w:pPr>
    </w:p>
    <w:p>
      <w:pPr>
        <w:spacing w:line="249" w:lineRule="auto"/>
        <w:rPr>
          <w:rFonts w:ascii="宋体" w:hAnsi="宋体" w:cs="宋体"/>
          <w:szCs w:val="21"/>
        </w:rPr>
      </w:pPr>
    </w:p>
    <w:p>
      <w:pPr>
        <w:spacing w:line="249" w:lineRule="auto"/>
        <w:rPr>
          <w:rFonts w:ascii="宋体" w:hAnsi="宋体" w:cs="宋体"/>
          <w:szCs w:val="21"/>
        </w:rPr>
      </w:pPr>
    </w:p>
    <w:p>
      <w:pPr>
        <w:spacing w:line="249" w:lineRule="auto"/>
        <w:rPr>
          <w:rFonts w:ascii="宋体" w:hAnsi="宋体" w:cs="宋体"/>
          <w:szCs w:val="21"/>
        </w:rPr>
      </w:pPr>
    </w:p>
    <w:p>
      <w:pPr>
        <w:spacing w:line="250" w:lineRule="auto"/>
        <w:rPr>
          <w:rFonts w:ascii="宋体" w:hAnsi="宋体" w:cs="宋体"/>
          <w:szCs w:val="21"/>
        </w:rPr>
      </w:pPr>
    </w:p>
    <w:p>
      <w:pPr>
        <w:spacing w:line="250" w:lineRule="auto"/>
        <w:rPr>
          <w:rFonts w:ascii="宋体" w:hAnsi="宋体" w:cs="宋体"/>
          <w:szCs w:val="21"/>
        </w:rPr>
      </w:pPr>
    </w:p>
    <w:p>
      <w:pPr>
        <w:spacing w:line="250" w:lineRule="auto"/>
        <w:rPr>
          <w:rFonts w:ascii="宋体" w:hAnsi="宋体" w:cs="宋体"/>
          <w:szCs w:val="21"/>
        </w:rPr>
      </w:pPr>
    </w:p>
    <w:p>
      <w:pPr>
        <w:spacing w:line="250" w:lineRule="auto"/>
        <w:rPr>
          <w:rFonts w:ascii="宋体" w:hAnsi="宋体" w:cs="宋体"/>
          <w:szCs w:val="21"/>
        </w:rPr>
      </w:pPr>
    </w:p>
    <w:p>
      <w:pPr>
        <w:spacing w:before="101" w:line="225" w:lineRule="auto"/>
        <w:ind w:left="223" w:firstLine="195" w:firstLineChars="60"/>
        <w:rPr>
          <w:rFonts w:ascii="宋体" w:hAnsi="宋体" w:cs="宋体"/>
          <w:sz w:val="31"/>
          <w:szCs w:val="31"/>
          <w:u w:val="single"/>
        </w:rPr>
      </w:pPr>
      <w:r>
        <w:rPr>
          <w:rFonts w:hint="eastAsia" w:ascii="宋体" w:hAnsi="宋体" w:cs="宋体"/>
          <w:spacing w:val="8"/>
          <w:sz w:val="31"/>
          <w:szCs w:val="31"/>
        </w:rPr>
        <w:t>项</w:t>
      </w:r>
      <w:r>
        <w:rPr>
          <w:rFonts w:hint="eastAsia" w:ascii="宋体" w:hAnsi="宋体" w:cs="宋体"/>
          <w:spacing w:val="5"/>
          <w:sz w:val="31"/>
          <w:szCs w:val="31"/>
        </w:rPr>
        <w:t>目编号：</w:t>
      </w:r>
      <w:r>
        <w:rPr>
          <w:rFonts w:hint="eastAsia" w:ascii="宋体" w:hAnsi="宋体" w:cs="宋体"/>
          <w:spacing w:val="5"/>
          <w:sz w:val="31"/>
          <w:szCs w:val="31"/>
          <w:u w:val="single"/>
        </w:rPr>
        <w:t xml:space="preserve">                                     </w:t>
      </w:r>
    </w:p>
    <w:p>
      <w:pPr>
        <w:spacing w:line="276" w:lineRule="auto"/>
        <w:rPr>
          <w:rFonts w:ascii="宋体" w:hAnsi="宋体" w:cs="宋体"/>
          <w:szCs w:val="21"/>
        </w:rPr>
      </w:pPr>
    </w:p>
    <w:p>
      <w:pPr>
        <w:spacing w:line="277" w:lineRule="auto"/>
        <w:rPr>
          <w:rFonts w:ascii="宋体" w:hAnsi="宋体" w:cs="宋体"/>
          <w:szCs w:val="21"/>
        </w:rPr>
      </w:pPr>
    </w:p>
    <w:p>
      <w:pPr>
        <w:spacing w:before="101" w:line="391" w:lineRule="auto"/>
        <w:ind w:left="4" w:right="696" w:firstLine="416"/>
        <w:rPr>
          <w:rFonts w:ascii="宋体" w:hAnsi="宋体" w:cs="宋体"/>
          <w:sz w:val="31"/>
          <w:szCs w:val="31"/>
          <w:u w:val="single"/>
        </w:rPr>
      </w:pPr>
      <w:r>
        <w:rPr>
          <w:rFonts w:hint="eastAsia" w:ascii="宋体" w:hAnsi="宋体" w:cs="宋体"/>
          <w:spacing w:val="9"/>
          <w:sz w:val="31"/>
          <w:szCs w:val="31"/>
        </w:rPr>
        <w:t>项目名称：</w:t>
      </w:r>
      <w:r>
        <w:rPr>
          <w:rFonts w:hint="eastAsia" w:ascii="宋体" w:hAnsi="宋体" w:cs="宋体"/>
          <w:spacing w:val="9"/>
          <w:sz w:val="31"/>
          <w:szCs w:val="31"/>
          <w:u w:val="single"/>
        </w:rPr>
        <w:t xml:space="preserve">南通市财政局市本级行政事业单位资产评估、拍卖（租）服务单位征集项目协议   </w:t>
      </w:r>
    </w:p>
    <w:p>
      <w:pPr>
        <w:spacing w:line="246" w:lineRule="auto"/>
        <w:rPr>
          <w:rFonts w:ascii="宋体" w:hAnsi="宋体" w:cs="宋体"/>
          <w:szCs w:val="21"/>
        </w:rPr>
      </w:pPr>
    </w:p>
    <w:p>
      <w:pPr>
        <w:spacing w:before="101" w:line="224" w:lineRule="auto"/>
        <w:ind w:firstLine="417" w:firstLineChars="142"/>
        <w:rPr>
          <w:rFonts w:ascii="宋体" w:hAnsi="宋体" w:cs="宋体"/>
          <w:sz w:val="31"/>
          <w:szCs w:val="31"/>
        </w:rPr>
      </w:pPr>
      <w:r>
        <w:rPr>
          <w:rFonts w:hint="eastAsia" w:ascii="宋体" w:hAnsi="宋体" w:cs="宋体"/>
          <w:spacing w:val="-8"/>
          <w:sz w:val="31"/>
          <w:szCs w:val="31"/>
        </w:rPr>
        <w:t xml:space="preserve">征 </w:t>
      </w:r>
      <w:r>
        <w:rPr>
          <w:rFonts w:hint="eastAsia" w:ascii="宋体" w:hAnsi="宋体" w:cs="宋体"/>
          <w:spacing w:val="-7"/>
          <w:sz w:val="31"/>
          <w:szCs w:val="31"/>
        </w:rPr>
        <w:t>集</w:t>
      </w:r>
      <w:r>
        <w:rPr>
          <w:rFonts w:hint="eastAsia" w:ascii="宋体" w:hAnsi="宋体" w:cs="宋体"/>
          <w:spacing w:val="-4"/>
          <w:sz w:val="31"/>
          <w:szCs w:val="31"/>
        </w:rPr>
        <w:t xml:space="preserve"> 人： </w:t>
      </w:r>
      <w:r>
        <w:rPr>
          <w:rFonts w:hint="eastAsia" w:ascii="宋体" w:hAnsi="宋体" w:cs="宋体"/>
          <w:spacing w:val="9"/>
          <w:sz w:val="31"/>
          <w:szCs w:val="31"/>
          <w:u w:val="single"/>
        </w:rPr>
        <w:t xml:space="preserve">南通市财政局                        </w:t>
      </w:r>
    </w:p>
    <w:p>
      <w:pPr>
        <w:spacing w:line="276" w:lineRule="auto"/>
        <w:rPr>
          <w:rFonts w:ascii="宋体" w:hAnsi="宋体" w:cs="宋体"/>
          <w:szCs w:val="21"/>
        </w:rPr>
      </w:pPr>
    </w:p>
    <w:p>
      <w:pPr>
        <w:spacing w:line="277" w:lineRule="auto"/>
        <w:rPr>
          <w:rFonts w:ascii="宋体" w:hAnsi="宋体" w:cs="宋体"/>
          <w:szCs w:val="21"/>
        </w:rPr>
      </w:pPr>
    </w:p>
    <w:p>
      <w:pPr>
        <w:spacing w:before="101" w:line="219" w:lineRule="auto"/>
        <w:ind w:left="18" w:firstLine="399" w:firstLineChars="129"/>
        <w:rPr>
          <w:rFonts w:ascii="宋体" w:hAnsi="宋体" w:cs="宋体"/>
          <w:sz w:val="31"/>
          <w:szCs w:val="31"/>
          <w:u w:val="single"/>
        </w:rPr>
      </w:pPr>
      <w:r>
        <w:rPr>
          <w:rFonts w:hint="eastAsia" w:ascii="宋体" w:hAnsi="宋体" w:cs="宋体"/>
          <w:sz w:val="31"/>
          <w:szCs w:val="31"/>
        </w:rPr>
        <w:t xml:space="preserve">供 应 商： </w:t>
      </w:r>
      <w:r>
        <w:rPr>
          <w:rFonts w:hint="eastAsia" w:ascii="宋体" w:hAnsi="宋体" w:cs="宋体"/>
          <w:sz w:val="31"/>
          <w:szCs w:val="31"/>
          <w:u w:val="single"/>
        </w:rPr>
        <w:t xml:space="preserve">                                       </w:t>
      </w:r>
    </w:p>
    <w:p>
      <w:pPr>
        <w:spacing w:line="282" w:lineRule="auto"/>
        <w:rPr>
          <w:rFonts w:ascii="宋体" w:hAnsi="宋体" w:cs="宋体"/>
          <w:szCs w:val="21"/>
        </w:rPr>
      </w:pPr>
    </w:p>
    <w:p>
      <w:pPr>
        <w:spacing w:line="283" w:lineRule="auto"/>
        <w:rPr>
          <w:rFonts w:ascii="宋体" w:hAnsi="宋体" w:cs="宋体"/>
          <w:szCs w:val="21"/>
        </w:rPr>
      </w:pPr>
    </w:p>
    <w:p>
      <w:pPr>
        <w:spacing w:before="101" w:line="226" w:lineRule="auto"/>
        <w:ind w:left="238" w:firstLine="181" w:firstLineChars="55"/>
        <w:rPr>
          <w:rFonts w:ascii="宋体" w:hAnsi="宋体" w:cs="宋体"/>
          <w:sz w:val="31"/>
          <w:szCs w:val="31"/>
          <w:u w:val="single"/>
        </w:rPr>
      </w:pPr>
      <w:r>
        <w:rPr>
          <w:rFonts w:hint="eastAsia" w:ascii="宋体" w:hAnsi="宋体" w:cs="宋体"/>
          <w:spacing w:val="10"/>
          <w:sz w:val="31"/>
          <w:szCs w:val="31"/>
        </w:rPr>
        <w:t>签</w:t>
      </w:r>
      <w:r>
        <w:rPr>
          <w:rFonts w:hint="eastAsia" w:ascii="宋体" w:hAnsi="宋体" w:cs="宋体"/>
          <w:spacing w:val="9"/>
          <w:sz w:val="31"/>
          <w:szCs w:val="31"/>
        </w:rPr>
        <w:t>订</w:t>
      </w:r>
      <w:r>
        <w:rPr>
          <w:rFonts w:hint="eastAsia" w:ascii="宋体" w:hAnsi="宋体" w:cs="宋体"/>
          <w:spacing w:val="5"/>
          <w:sz w:val="31"/>
          <w:szCs w:val="31"/>
        </w:rPr>
        <w:t>日期：</w:t>
      </w:r>
      <w:r>
        <w:rPr>
          <w:rFonts w:hint="eastAsia" w:ascii="宋体" w:hAnsi="宋体" w:cs="宋体"/>
          <w:spacing w:val="5"/>
          <w:sz w:val="31"/>
          <w:szCs w:val="31"/>
          <w:u w:val="single"/>
        </w:rPr>
        <w:t xml:space="preserve">                                     </w:t>
      </w:r>
    </w:p>
    <w:p>
      <w:pPr>
        <w:rPr>
          <w:rFonts w:ascii="宋体" w:hAnsi="宋体" w:cs="宋体"/>
          <w:szCs w:val="21"/>
        </w:rPr>
        <w:sectPr>
          <w:footerReference r:id="rId3" w:type="default"/>
          <w:pgSz w:w="11907" w:h="16839"/>
          <w:pgMar w:top="1151" w:right="1785" w:bottom="1149" w:left="1060" w:header="0" w:footer="988" w:gutter="0"/>
          <w:cols w:space="720" w:num="1"/>
        </w:sectPr>
      </w:pPr>
    </w:p>
    <w:p>
      <w:pPr>
        <w:spacing w:line="268" w:lineRule="auto"/>
        <w:rPr>
          <w:rFonts w:ascii="宋体" w:hAnsi="宋体" w:cs="宋体"/>
          <w:szCs w:val="21"/>
        </w:rPr>
      </w:pPr>
    </w:p>
    <w:p>
      <w:pPr>
        <w:spacing w:before="78" w:line="360" w:lineRule="auto"/>
        <w:rPr>
          <w:rFonts w:ascii="宋体" w:hAnsi="宋体" w:cs="宋体"/>
          <w:sz w:val="24"/>
          <w:lang w:eastAsia="zh-Hans"/>
        </w:rPr>
      </w:pPr>
      <w:r>
        <w:rPr>
          <w:rFonts w:hint="eastAsia" w:ascii="宋体" w:hAnsi="宋体" w:cs="宋体"/>
          <w:spacing w:val="4"/>
          <w:sz w:val="24"/>
        </w:rPr>
        <w:t>征集人(以下简称“甲方”)：</w:t>
      </w:r>
      <w:r>
        <w:rPr>
          <w:rFonts w:hint="eastAsia" w:ascii="宋体" w:hAnsi="宋体" w:cs="宋体"/>
          <w:spacing w:val="2"/>
          <w:sz w:val="24"/>
        </w:rPr>
        <w:t xml:space="preserve"> </w:t>
      </w:r>
      <w:r>
        <w:rPr>
          <w:rFonts w:hint="eastAsia" w:ascii="宋体" w:hAnsi="宋体" w:cs="宋体"/>
          <w:spacing w:val="2"/>
          <w:sz w:val="24"/>
          <w:u w:val="single"/>
          <w:lang w:eastAsia="zh-Hans"/>
        </w:rPr>
        <w:t>南通市财政局</w:t>
      </w:r>
    </w:p>
    <w:p>
      <w:pPr>
        <w:spacing w:before="78" w:line="360" w:lineRule="auto"/>
        <w:rPr>
          <w:rFonts w:ascii="宋体" w:hAnsi="宋体" w:cs="宋体"/>
          <w:sz w:val="24"/>
          <w:u w:val="single"/>
        </w:rPr>
      </w:pPr>
      <w:r>
        <w:rPr>
          <w:rFonts w:hint="eastAsia" w:ascii="宋体" w:hAnsi="宋体" w:cs="宋体"/>
          <w:spacing w:val="4"/>
          <w:sz w:val="24"/>
        </w:rPr>
        <w:t xml:space="preserve">供应商(以下简称“乙方”)： </w:t>
      </w:r>
      <w:r>
        <w:rPr>
          <w:rFonts w:hint="eastAsia" w:ascii="宋体" w:hAnsi="宋体" w:cs="宋体"/>
          <w:spacing w:val="4"/>
          <w:sz w:val="24"/>
          <w:u w:val="single"/>
        </w:rPr>
        <w:t xml:space="preserve">            </w:t>
      </w:r>
    </w:p>
    <w:p>
      <w:pPr>
        <w:spacing w:before="189" w:line="360" w:lineRule="auto"/>
        <w:ind w:right="-63"/>
        <w:rPr>
          <w:rFonts w:ascii="宋体" w:hAnsi="宋体" w:cs="宋体"/>
          <w:sz w:val="24"/>
        </w:rPr>
      </w:pPr>
      <w:r>
        <w:rPr>
          <w:rFonts w:hint="eastAsia" w:ascii="宋体" w:hAnsi="宋体" w:cs="宋体"/>
          <w:spacing w:val="-4"/>
          <w:sz w:val="24"/>
        </w:rPr>
        <w:t>根据</w:t>
      </w:r>
      <w:r>
        <w:rPr>
          <w:rFonts w:hint="eastAsia" w:ascii="宋体" w:hAnsi="宋体" w:cs="宋体"/>
          <w:spacing w:val="-4"/>
          <w:sz w:val="24"/>
          <w:u w:val="single"/>
        </w:rPr>
        <w:t>南通市财政局市本级行政事业单位资产评估、拍卖（租）服务单位征集项目框架协议采购</w:t>
      </w:r>
      <w:r>
        <w:rPr>
          <w:rFonts w:hint="eastAsia" w:ascii="宋体" w:hAnsi="宋体" w:cs="宋体"/>
          <w:sz w:val="24"/>
          <w:u w:val="single"/>
        </w:rPr>
        <w:t>项目</w:t>
      </w:r>
      <w:r>
        <w:rPr>
          <w:rFonts w:hint="eastAsia" w:ascii="宋体" w:hAnsi="宋体" w:cs="宋体"/>
          <w:sz w:val="24"/>
        </w:rPr>
        <w:t>公开征集的结果，</w:t>
      </w:r>
      <w:r>
        <w:rPr>
          <w:rFonts w:hint="eastAsia" w:ascii="宋体" w:hAnsi="宋体" w:cs="宋体"/>
          <w:sz w:val="24"/>
          <w:lang w:eastAsia="zh-Hans"/>
        </w:rPr>
        <w:t>乙方为入围供应商，</w:t>
      </w:r>
      <w:r>
        <w:rPr>
          <w:rFonts w:hint="eastAsia" w:ascii="宋体" w:hAnsi="宋体" w:cs="宋体"/>
          <w:sz w:val="24"/>
        </w:rPr>
        <w:t>甲、乙双方同意按下述条款</w:t>
      </w:r>
      <w:r>
        <w:rPr>
          <w:rFonts w:hint="eastAsia" w:ascii="宋体" w:hAnsi="宋体" w:cs="宋体"/>
          <w:spacing w:val="15"/>
          <w:sz w:val="24"/>
        </w:rPr>
        <w:t>和</w:t>
      </w:r>
      <w:r>
        <w:rPr>
          <w:rFonts w:hint="eastAsia" w:ascii="宋体" w:hAnsi="宋体" w:cs="宋体"/>
          <w:spacing w:val="10"/>
          <w:sz w:val="24"/>
        </w:rPr>
        <w:t>条件签订本协议(以下简称“协议”)。</w:t>
      </w:r>
    </w:p>
    <w:p>
      <w:pPr>
        <w:numPr>
          <w:ilvl w:val="0"/>
          <w:numId w:val="6"/>
        </w:numPr>
        <w:spacing w:before="79" w:line="360" w:lineRule="auto"/>
        <w:rPr>
          <w:rFonts w:ascii="宋体" w:hAnsi="宋体" w:cs="宋体"/>
          <w:sz w:val="24"/>
          <w:lang w:eastAsia="zh-Hans"/>
        </w:rPr>
      </w:pPr>
      <w:r>
        <w:rPr>
          <w:rFonts w:hint="eastAsia" w:ascii="宋体" w:hAnsi="宋体" w:cs="宋体"/>
          <w:spacing w:val="1"/>
          <w:sz w:val="24"/>
          <w:lang w:eastAsia="zh-Hans"/>
        </w:rPr>
        <w:t>服务费支付</w:t>
      </w:r>
    </w:p>
    <w:p>
      <w:pPr>
        <w:numPr>
          <w:ilvl w:val="0"/>
          <w:numId w:val="7"/>
        </w:numPr>
        <w:adjustRightInd w:val="0"/>
        <w:snapToGrid w:val="0"/>
        <w:spacing w:line="360" w:lineRule="auto"/>
        <w:rPr>
          <w:rFonts w:ascii="宋体" w:hAnsi="宋体" w:cs="宋体"/>
          <w:bCs/>
          <w:sz w:val="24"/>
          <w:lang w:eastAsia="zh-Hans"/>
        </w:rPr>
      </w:pPr>
      <w:r>
        <w:rPr>
          <w:rFonts w:hint="eastAsia" w:ascii="宋体" w:hAnsi="宋体" w:cs="宋体"/>
          <w:bCs/>
          <w:sz w:val="24"/>
          <w:lang w:eastAsia="zh-Hans"/>
        </w:rPr>
        <w:t>本项目按单个项目支付服务费，支付方式如下：</w:t>
      </w:r>
    </w:p>
    <w:p>
      <w:pPr>
        <w:adjustRightInd w:val="0"/>
        <w:snapToGrid w:val="0"/>
        <w:spacing w:line="360" w:lineRule="auto"/>
        <w:rPr>
          <w:rFonts w:ascii="宋体" w:hAnsi="宋体" w:cs="宋体"/>
          <w:sz w:val="24"/>
        </w:rPr>
      </w:pPr>
      <w:r>
        <w:rPr>
          <w:rFonts w:hint="eastAsia" w:ascii="宋体" w:hAnsi="宋体" w:cs="宋体"/>
          <w:bCs/>
          <w:sz w:val="24"/>
          <w:lang w:eastAsia="zh-Hans"/>
        </w:rPr>
        <w:t>标段一：在完成项目委托评估任务后，由</w:t>
      </w:r>
      <w:r>
        <w:rPr>
          <w:rFonts w:hint="eastAsia" w:ascii="宋体" w:hAnsi="宋体" w:cs="宋体"/>
          <w:bCs/>
          <w:sz w:val="24"/>
        </w:rPr>
        <w:t>委托人</w:t>
      </w:r>
      <w:r>
        <w:rPr>
          <w:rFonts w:hint="eastAsia" w:ascii="宋体" w:hAnsi="宋体" w:cs="宋体"/>
          <w:bCs/>
          <w:sz w:val="24"/>
          <w:lang w:eastAsia="zh-Hans"/>
        </w:rPr>
        <w:t>根据</w:t>
      </w:r>
      <w:r>
        <w:rPr>
          <w:rFonts w:hint="eastAsia" w:ascii="宋体" w:hAnsi="宋体" w:cs="宋体"/>
          <w:bCs/>
          <w:sz w:val="24"/>
        </w:rPr>
        <w:t>统一</w:t>
      </w:r>
      <w:r>
        <w:rPr>
          <w:rFonts w:hint="eastAsia" w:ascii="宋体" w:hAnsi="宋体" w:cs="宋体"/>
          <w:bCs/>
          <w:sz w:val="24"/>
          <w:lang w:eastAsia="zh-Hans"/>
        </w:rPr>
        <w:t>费率</w:t>
      </w:r>
      <w:r>
        <w:rPr>
          <w:rFonts w:hint="eastAsia" w:ascii="宋体" w:hAnsi="宋体" w:cs="宋体"/>
          <w:bCs/>
          <w:sz w:val="24"/>
          <w:u w:val="single"/>
          <w:lang w:eastAsia="zh-Hans"/>
        </w:rPr>
        <w:t xml:space="preserve">    </w:t>
      </w:r>
      <w:r>
        <w:rPr>
          <w:rFonts w:hint="eastAsia" w:ascii="宋体" w:hAnsi="宋体" w:cs="宋体"/>
          <w:bCs/>
          <w:sz w:val="24"/>
          <w:lang w:eastAsia="zh-Hans"/>
        </w:rPr>
        <w:t>支付评估服务费；标段二：</w:t>
      </w:r>
      <w:r>
        <w:rPr>
          <w:rFonts w:hint="eastAsia" w:ascii="宋体" w:hAnsi="宋体" w:cs="宋体"/>
          <w:bCs/>
          <w:sz w:val="24"/>
        </w:rPr>
        <w:t>项目成交后，由买受人按照统一费率</w:t>
      </w:r>
      <w:r>
        <w:rPr>
          <w:rFonts w:hint="eastAsia" w:ascii="宋体" w:hAnsi="宋体" w:cs="宋体"/>
          <w:bCs/>
          <w:sz w:val="24"/>
          <w:u w:val="single"/>
        </w:rPr>
        <w:t xml:space="preserve">    </w:t>
      </w:r>
      <w:r>
        <w:rPr>
          <w:rFonts w:hint="eastAsia" w:ascii="宋体" w:hAnsi="宋体" w:cs="宋体"/>
          <w:bCs/>
          <w:sz w:val="24"/>
        </w:rPr>
        <w:t>支付拍卖（租）</w:t>
      </w:r>
      <w:r>
        <w:rPr>
          <w:rFonts w:hint="eastAsia" w:ascii="宋体" w:hAnsi="宋体" w:cs="宋体"/>
          <w:bCs/>
          <w:sz w:val="24"/>
          <w:lang w:eastAsia="zh-Hans"/>
        </w:rPr>
        <w:t>服务</w:t>
      </w:r>
      <w:r>
        <w:rPr>
          <w:rFonts w:hint="eastAsia" w:ascii="宋体" w:hAnsi="宋体" w:cs="宋体"/>
          <w:bCs/>
          <w:sz w:val="24"/>
        </w:rPr>
        <w:t>费。</w:t>
      </w:r>
    </w:p>
    <w:p>
      <w:pPr>
        <w:numPr>
          <w:ilvl w:val="0"/>
          <w:numId w:val="7"/>
        </w:numPr>
        <w:spacing w:line="360" w:lineRule="auto"/>
        <w:rPr>
          <w:rFonts w:ascii="宋体" w:hAnsi="宋体" w:cs="宋体"/>
          <w:sz w:val="24"/>
        </w:rPr>
      </w:pPr>
      <w:r>
        <w:rPr>
          <w:rFonts w:hint="eastAsia" w:ascii="宋体" w:hAnsi="宋体" w:cs="宋体"/>
          <w:sz w:val="24"/>
        </w:rPr>
        <w:t>单个项目服务费包含但不限于完成本项目所需的人工、交通、食宿、税费、企业管理费、合理利润及为完成本项目所必须的其他辅助工作的相关费用及响应征集文件要求等一切费用。南通市财政局、委托人（买受人）不承担除服务费外的其他费用。</w:t>
      </w:r>
    </w:p>
    <w:p>
      <w:pPr>
        <w:numPr>
          <w:ilvl w:val="0"/>
          <w:numId w:val="7"/>
        </w:numPr>
        <w:spacing w:line="360" w:lineRule="auto"/>
        <w:rPr>
          <w:rFonts w:ascii="宋体" w:hAnsi="宋体" w:cs="宋体"/>
          <w:sz w:val="24"/>
        </w:rPr>
      </w:pPr>
      <w:r>
        <w:rPr>
          <w:rFonts w:hint="eastAsia" w:ascii="宋体" w:hAnsi="宋体" w:cs="宋体"/>
          <w:sz w:val="24"/>
        </w:rPr>
        <w:t>协议有效期间，只要本项目服务范围和工作要求不变，在服务期限内，单个项目服务</w:t>
      </w:r>
      <w:r>
        <w:rPr>
          <w:rFonts w:hint="eastAsia" w:ascii="宋体" w:hAnsi="宋体" w:cs="宋体"/>
          <w:sz w:val="24"/>
          <w:lang w:eastAsia="zh-Hans"/>
        </w:rPr>
        <w:t>费率</w:t>
      </w:r>
      <w:r>
        <w:rPr>
          <w:rFonts w:hint="eastAsia" w:ascii="宋体" w:hAnsi="宋体" w:cs="宋体"/>
          <w:sz w:val="24"/>
        </w:rPr>
        <w:t>不予调整。</w:t>
      </w:r>
    </w:p>
    <w:p>
      <w:pPr>
        <w:numPr>
          <w:ilvl w:val="0"/>
          <w:numId w:val="7"/>
        </w:numPr>
        <w:spacing w:line="360" w:lineRule="auto"/>
        <w:rPr>
          <w:rFonts w:ascii="宋体" w:hAnsi="宋体" w:cs="宋体"/>
          <w:sz w:val="24"/>
        </w:rPr>
      </w:pPr>
      <w:r>
        <w:rPr>
          <w:rFonts w:hint="eastAsia" w:ascii="宋体" w:hAnsi="宋体" w:cs="宋体"/>
          <w:sz w:val="24"/>
        </w:rPr>
        <w:t>无论项目金额大小，乙方单个项目服务</w:t>
      </w:r>
      <w:r>
        <w:rPr>
          <w:rFonts w:hint="eastAsia" w:ascii="宋体" w:hAnsi="宋体" w:cs="宋体"/>
          <w:sz w:val="24"/>
          <w:lang w:eastAsia="zh-Hans"/>
        </w:rPr>
        <w:t>费率</w:t>
      </w:r>
      <w:r>
        <w:rPr>
          <w:rFonts w:hint="eastAsia" w:ascii="宋体" w:hAnsi="宋体" w:cs="宋体"/>
          <w:sz w:val="24"/>
        </w:rPr>
        <w:t>固定不变。协议价在框架协议有效期内不因市场变化因素而变动。</w:t>
      </w:r>
    </w:p>
    <w:p>
      <w:pPr>
        <w:numPr>
          <w:ilvl w:val="255"/>
          <w:numId w:val="0"/>
        </w:numPr>
        <w:spacing w:before="79" w:line="360" w:lineRule="auto"/>
        <w:rPr>
          <w:rFonts w:ascii="宋体" w:hAnsi="宋体" w:cs="宋体"/>
          <w:spacing w:val="1"/>
          <w:sz w:val="24"/>
          <w:lang w:eastAsia="zh-Hans"/>
        </w:rPr>
      </w:pPr>
      <w:r>
        <w:rPr>
          <w:rFonts w:hint="eastAsia" w:ascii="宋体" w:hAnsi="宋体" w:cs="宋体"/>
          <w:spacing w:val="1"/>
          <w:sz w:val="24"/>
        </w:rPr>
        <w:t>二、协议</w:t>
      </w:r>
      <w:r>
        <w:rPr>
          <w:rFonts w:hint="eastAsia" w:ascii="宋体" w:hAnsi="宋体" w:cs="宋体"/>
          <w:spacing w:val="1"/>
          <w:sz w:val="24"/>
          <w:lang w:eastAsia="zh-Hans"/>
        </w:rPr>
        <w:t>组成部分：</w:t>
      </w:r>
    </w:p>
    <w:p>
      <w:pPr>
        <w:adjustRightInd w:val="0"/>
        <w:snapToGrid w:val="0"/>
        <w:spacing w:line="360" w:lineRule="auto"/>
        <w:rPr>
          <w:rFonts w:ascii="宋体" w:hAnsi="宋体" w:cs="宋体"/>
          <w:bCs/>
          <w:sz w:val="24"/>
          <w:lang w:eastAsia="zh-Hans"/>
        </w:rPr>
      </w:pPr>
      <w:r>
        <w:rPr>
          <w:rFonts w:hint="eastAsia" w:ascii="宋体" w:hAnsi="宋体" w:cs="宋体"/>
          <w:bCs/>
          <w:sz w:val="24"/>
          <w:lang w:eastAsia="zh-Hans"/>
        </w:rPr>
        <w:t>1、本协议；</w:t>
      </w:r>
    </w:p>
    <w:p>
      <w:pPr>
        <w:adjustRightInd w:val="0"/>
        <w:snapToGrid w:val="0"/>
        <w:spacing w:line="360" w:lineRule="auto"/>
        <w:rPr>
          <w:rFonts w:ascii="宋体" w:hAnsi="宋体" w:cs="宋体"/>
          <w:bCs/>
          <w:sz w:val="24"/>
          <w:lang w:eastAsia="zh-Hans"/>
        </w:rPr>
      </w:pPr>
      <w:r>
        <w:rPr>
          <w:rFonts w:hint="eastAsia" w:ascii="宋体" w:hAnsi="宋体" w:cs="宋体"/>
          <w:bCs/>
          <w:sz w:val="24"/>
          <w:lang w:eastAsia="zh-Hans"/>
        </w:rPr>
        <w:t>2、中标通知书；</w:t>
      </w:r>
    </w:p>
    <w:p>
      <w:pPr>
        <w:adjustRightInd w:val="0"/>
        <w:snapToGrid w:val="0"/>
        <w:spacing w:line="360" w:lineRule="auto"/>
        <w:rPr>
          <w:rFonts w:ascii="宋体" w:hAnsi="宋体" w:cs="宋体"/>
          <w:bCs/>
          <w:sz w:val="24"/>
          <w:lang w:eastAsia="zh-Hans"/>
        </w:rPr>
      </w:pPr>
      <w:r>
        <w:rPr>
          <w:rFonts w:hint="eastAsia" w:ascii="宋体" w:hAnsi="宋体" w:cs="宋体"/>
          <w:bCs/>
          <w:sz w:val="24"/>
          <w:lang w:eastAsia="zh-Hans"/>
        </w:rPr>
        <w:t>3、投标文件及其附件（含</w:t>
      </w:r>
      <w:r>
        <w:rPr>
          <w:rFonts w:hint="eastAsia" w:ascii="宋体" w:hAnsi="宋体" w:cs="宋体"/>
          <w:bCs/>
          <w:sz w:val="24"/>
        </w:rPr>
        <w:t>供应商</w:t>
      </w:r>
      <w:r>
        <w:rPr>
          <w:rFonts w:hint="eastAsia" w:ascii="宋体" w:hAnsi="宋体" w:cs="宋体"/>
          <w:bCs/>
          <w:sz w:val="24"/>
          <w:lang w:eastAsia="zh-Hans"/>
        </w:rPr>
        <w:t>在评标期间递交和确认并经招标人同意的对有关问题的补充资料和澄清文件等，如果有）；</w:t>
      </w:r>
    </w:p>
    <w:p>
      <w:pPr>
        <w:numPr>
          <w:ilvl w:val="255"/>
          <w:numId w:val="0"/>
        </w:numPr>
        <w:spacing w:line="360" w:lineRule="auto"/>
        <w:rPr>
          <w:rFonts w:ascii="宋体" w:hAnsi="宋体" w:cs="宋体"/>
          <w:sz w:val="24"/>
        </w:rPr>
      </w:pPr>
      <w:r>
        <w:rPr>
          <w:rFonts w:hint="eastAsia" w:ascii="宋体" w:hAnsi="宋体" w:cs="宋体"/>
          <w:sz w:val="24"/>
        </w:rPr>
        <w:t>4、招标公告及招标文件。</w:t>
      </w:r>
    </w:p>
    <w:p>
      <w:pPr>
        <w:spacing w:line="360" w:lineRule="auto"/>
        <w:rPr>
          <w:rFonts w:ascii="宋体" w:hAnsi="宋体" w:cs="宋体"/>
          <w:bCs/>
          <w:sz w:val="24"/>
        </w:rPr>
      </w:pPr>
      <w:r>
        <w:rPr>
          <w:rFonts w:hint="eastAsia" w:ascii="宋体" w:hAnsi="宋体" w:cs="宋体"/>
          <w:spacing w:val="-1"/>
          <w:sz w:val="24"/>
        </w:rPr>
        <w:t>三、第</w:t>
      </w:r>
      <w:r>
        <w:rPr>
          <w:rFonts w:hint="eastAsia" w:ascii="宋体" w:hAnsi="宋体" w:cs="宋体"/>
          <w:sz w:val="24"/>
        </w:rPr>
        <w:t>二阶段成交供应商的方式：</w:t>
      </w:r>
      <w:r>
        <w:rPr>
          <w:rFonts w:hint="eastAsia" w:ascii="宋体" w:hAnsi="宋体" w:cs="宋体"/>
          <w:bCs/>
          <w:sz w:val="24"/>
        </w:rPr>
        <w:t>直接选定。</w:t>
      </w:r>
    </w:p>
    <w:p>
      <w:pPr>
        <w:spacing w:line="360" w:lineRule="auto"/>
        <w:ind w:left="223" w:hanging="3"/>
        <w:rPr>
          <w:rFonts w:ascii="宋体" w:hAnsi="宋体" w:cs="宋体"/>
          <w:spacing w:val="-2"/>
          <w:sz w:val="24"/>
        </w:rPr>
      </w:pPr>
      <w:r>
        <w:rPr>
          <w:rFonts w:hint="eastAsia" w:ascii="宋体" w:hAnsi="宋体" w:cs="宋体"/>
          <w:bCs/>
          <w:sz w:val="24"/>
        </w:rPr>
        <w:t>第二阶段供应商由</w:t>
      </w:r>
      <w:r>
        <w:rPr>
          <w:rFonts w:hint="eastAsia" w:ascii="宋体" w:hAnsi="宋体" w:cs="宋体"/>
          <w:bCs/>
          <w:sz w:val="24"/>
          <w:lang w:eastAsia="zh-Hans"/>
        </w:rPr>
        <w:t>甲方</w:t>
      </w:r>
      <w:r>
        <w:rPr>
          <w:rFonts w:hint="eastAsia" w:ascii="宋体" w:hAnsi="宋体" w:cs="宋体"/>
          <w:bCs/>
          <w:sz w:val="24"/>
        </w:rPr>
        <w:t>根据入围供应商服务质量、服务评价等因素，从第一阶段入围供应商中通过</w:t>
      </w:r>
      <w:r>
        <w:rPr>
          <w:rFonts w:hint="eastAsia" w:ascii="宋体" w:hAnsi="宋体" w:cs="宋体"/>
          <w:b/>
          <w:sz w:val="24"/>
        </w:rPr>
        <w:t>直接选定</w:t>
      </w:r>
      <w:r>
        <w:rPr>
          <w:rFonts w:hint="eastAsia" w:ascii="宋体" w:hAnsi="宋体" w:cs="宋体"/>
          <w:spacing w:val="-2"/>
          <w:sz w:val="24"/>
        </w:rPr>
        <w:t>。</w:t>
      </w:r>
    </w:p>
    <w:p>
      <w:pPr>
        <w:spacing w:line="360" w:lineRule="auto"/>
        <w:ind w:left="223" w:hanging="3"/>
        <w:rPr>
          <w:rFonts w:ascii="宋体" w:hAnsi="宋体" w:cs="宋体"/>
          <w:bCs/>
          <w:sz w:val="24"/>
        </w:rPr>
      </w:pPr>
      <w:r>
        <w:rPr>
          <w:rFonts w:hint="eastAsia" w:ascii="宋体" w:hAnsi="宋体" w:cs="宋体"/>
          <w:bCs/>
          <w:sz w:val="24"/>
        </w:rPr>
        <w:t>协议期内经</w:t>
      </w:r>
      <w:r>
        <w:rPr>
          <w:rFonts w:hint="eastAsia" w:ascii="宋体" w:hAnsi="宋体" w:cs="宋体"/>
          <w:bCs/>
          <w:sz w:val="24"/>
          <w:lang w:eastAsia="zh-Hans"/>
        </w:rPr>
        <w:t>甲方</w:t>
      </w:r>
      <w:r>
        <w:rPr>
          <w:rFonts w:hint="eastAsia" w:ascii="宋体" w:hAnsi="宋体" w:cs="宋体"/>
          <w:bCs/>
          <w:sz w:val="24"/>
        </w:rPr>
        <w:t>评价不合格的，</w:t>
      </w:r>
      <w:r>
        <w:rPr>
          <w:rFonts w:hint="eastAsia" w:ascii="宋体" w:hAnsi="宋体" w:cs="宋体"/>
          <w:bCs/>
          <w:sz w:val="24"/>
          <w:lang w:eastAsia="zh-Hans"/>
        </w:rPr>
        <w:t>甲方</w:t>
      </w:r>
      <w:r>
        <w:rPr>
          <w:rFonts w:hint="eastAsia" w:ascii="宋体" w:hAnsi="宋体" w:cs="宋体"/>
          <w:bCs/>
          <w:sz w:val="24"/>
        </w:rPr>
        <w:t>有权清退该供应商。</w:t>
      </w:r>
    </w:p>
    <w:p>
      <w:pPr>
        <w:spacing w:line="360" w:lineRule="auto"/>
        <w:ind w:left="3" w:hanging="3"/>
        <w:rPr>
          <w:rFonts w:ascii="宋体" w:hAnsi="宋体" w:cs="宋体"/>
          <w:sz w:val="24"/>
        </w:rPr>
      </w:pPr>
      <w:r>
        <w:rPr>
          <w:rFonts w:hint="eastAsia" w:ascii="宋体" w:hAnsi="宋体" w:cs="宋体"/>
          <w:sz w:val="24"/>
        </w:rPr>
        <w:t>四</w:t>
      </w:r>
      <w:r>
        <w:rPr>
          <w:rFonts w:hint="eastAsia" w:ascii="宋体" w:hAnsi="宋体" w:cs="宋体"/>
          <w:sz w:val="24"/>
          <w:lang w:eastAsia="zh-Hans"/>
        </w:rPr>
        <w:t>、</w:t>
      </w:r>
      <w:r>
        <w:rPr>
          <w:rFonts w:hint="eastAsia" w:ascii="宋体" w:hAnsi="宋体" w:cs="宋体"/>
          <w:spacing w:val="-1"/>
          <w:sz w:val="24"/>
        </w:rPr>
        <w:t>框架协议期限：两年（即24个月），从合同签订之日起算。</w:t>
      </w:r>
    </w:p>
    <w:p>
      <w:pPr>
        <w:spacing w:line="360" w:lineRule="auto"/>
        <w:ind w:right="49"/>
        <w:rPr>
          <w:rFonts w:ascii="宋体" w:hAnsi="宋体" w:cs="宋体"/>
          <w:sz w:val="24"/>
          <w:lang w:eastAsia="zh-Hans"/>
        </w:rPr>
      </w:pPr>
      <w:r>
        <w:rPr>
          <w:rFonts w:hint="eastAsia" w:ascii="宋体" w:hAnsi="宋体" w:cs="宋体"/>
          <w:sz w:val="24"/>
        </w:rPr>
        <w:t>五</w:t>
      </w:r>
      <w:r>
        <w:rPr>
          <w:rFonts w:hint="eastAsia" w:ascii="宋体" w:hAnsi="宋体" w:cs="宋体"/>
          <w:sz w:val="24"/>
          <w:lang w:eastAsia="zh-Hans"/>
        </w:rPr>
        <w:t>、服务内容</w:t>
      </w:r>
    </w:p>
    <w:p>
      <w:pPr>
        <w:pStyle w:val="2"/>
        <w:spacing w:line="360" w:lineRule="auto"/>
        <w:ind w:firstLine="480" w:firstLineChars="200"/>
        <w:rPr>
          <w:rFonts w:ascii="宋体" w:hAnsi="宋体" w:cs="宋体"/>
          <w:sz w:val="24"/>
        </w:rPr>
      </w:pPr>
      <w:r>
        <w:rPr>
          <w:rFonts w:hint="eastAsia" w:ascii="宋体" w:hAnsi="宋体" w:cs="宋体"/>
          <w:sz w:val="24"/>
        </w:rPr>
        <w:t>标段一：为市本级行政事业单位提供评估服务，按要求出具评估报告。</w:t>
      </w:r>
    </w:p>
    <w:p>
      <w:pPr>
        <w:pStyle w:val="2"/>
        <w:spacing w:line="360" w:lineRule="auto"/>
        <w:ind w:firstLine="480" w:firstLineChars="200"/>
        <w:rPr>
          <w:rFonts w:ascii="宋体" w:hAnsi="宋体" w:cs="宋体"/>
          <w:sz w:val="24"/>
        </w:rPr>
      </w:pPr>
      <w:r>
        <w:rPr>
          <w:rFonts w:hint="eastAsia" w:ascii="宋体" w:hAnsi="宋体" w:cs="宋体"/>
          <w:sz w:val="24"/>
        </w:rPr>
        <w:t>标段二：为市本级行政事业单位提供线下拍卖（租）服务和线上竞价辅助服务。包括但不限于拍前项目移交、项目策划、拍卖（租）方案的编制、拍卖（租）文件编制、信息披露、报名登记（法规政策另有规定的从其规定）、组织拍卖会、咨询看样、标的物成交后移交及其他相关后续服务。入围供应商应积极配合服务对象制定详细的项目计划和时间计划，按时完成拍卖服务，并确保资产的保值增值。</w:t>
      </w:r>
    </w:p>
    <w:p>
      <w:pPr>
        <w:pStyle w:val="2"/>
        <w:spacing w:line="360" w:lineRule="auto"/>
        <w:rPr>
          <w:rFonts w:ascii="宋体" w:hAnsi="宋体" w:cs="宋体"/>
          <w:sz w:val="24"/>
          <w:lang w:eastAsia="zh-Hans"/>
        </w:rPr>
      </w:pPr>
      <w:r>
        <w:rPr>
          <w:rFonts w:hint="eastAsia" w:ascii="宋体" w:hAnsi="宋体" w:cs="宋体"/>
          <w:sz w:val="24"/>
        </w:rPr>
        <w:t>六</w:t>
      </w:r>
      <w:r>
        <w:rPr>
          <w:rFonts w:hint="eastAsia" w:ascii="宋体" w:hAnsi="宋体" w:cs="宋体"/>
          <w:sz w:val="24"/>
          <w:lang w:eastAsia="zh-Hans"/>
        </w:rPr>
        <w:t>、服务要求</w:t>
      </w:r>
    </w:p>
    <w:p>
      <w:pPr>
        <w:pStyle w:val="2"/>
        <w:spacing w:line="360" w:lineRule="auto"/>
        <w:ind w:firstLine="482" w:firstLineChars="200"/>
        <w:rPr>
          <w:rFonts w:ascii="宋体" w:hAnsi="宋体" w:cs="宋体"/>
          <w:b/>
          <w:bCs/>
          <w:sz w:val="24"/>
        </w:rPr>
      </w:pPr>
      <w:r>
        <w:rPr>
          <w:rFonts w:hint="eastAsia" w:ascii="宋体" w:hAnsi="宋体" w:cs="宋体"/>
          <w:b/>
          <w:bCs/>
          <w:sz w:val="24"/>
        </w:rPr>
        <w:t>6.1基本要求：</w:t>
      </w:r>
    </w:p>
    <w:p>
      <w:pPr>
        <w:pStyle w:val="2"/>
        <w:spacing w:line="360" w:lineRule="auto"/>
        <w:ind w:firstLine="480" w:firstLineChars="200"/>
        <w:rPr>
          <w:rFonts w:ascii="宋体" w:hAnsi="宋体" w:cs="宋体"/>
          <w:sz w:val="24"/>
        </w:rPr>
      </w:pPr>
      <w:r>
        <w:rPr>
          <w:rFonts w:hint="eastAsia" w:ascii="宋体" w:hAnsi="宋体" w:cs="宋体"/>
          <w:sz w:val="24"/>
        </w:rPr>
        <w:t>标段一：（1）入围供应商在接到委托人的评估服务要求时，须无条件响应，并于被指定起5日内签订委托评估合同。（2）入围供应商应严格按照法律、法规、行业规范的要求提供评估服务，并出具完整评估报告。（3）入围供应商应当在签订合同后3日内将项目负责人及项目经办人名单报送至采购人备案，一个合同期内项目负责人不得更换，项目经办人如需更换须经采购人同意并报送更换人员名单。（4）投入本项目人员不少于5人。（5）入围供应商必须保证每次都按时保质保量完成委托人委托的业务。（6）入围供应商不得擅自将评估项目转包给第三方。</w:t>
      </w:r>
    </w:p>
    <w:p>
      <w:pPr>
        <w:pStyle w:val="2"/>
        <w:spacing w:line="360" w:lineRule="auto"/>
        <w:ind w:firstLine="480" w:firstLineChars="200"/>
        <w:rPr>
          <w:rFonts w:ascii="宋体" w:hAnsi="宋体" w:cs="宋体"/>
          <w:sz w:val="24"/>
        </w:rPr>
      </w:pPr>
      <w:r>
        <w:rPr>
          <w:rFonts w:hint="eastAsia" w:ascii="宋体" w:hAnsi="宋体" w:cs="宋体"/>
          <w:sz w:val="24"/>
        </w:rPr>
        <w:t>标段二：（1）入围供应商在接到委托人的拍卖（租）服务要求时，须无条件响应，并在5日内签订委托拍卖（租）合同。（2）入围供应商组织拍卖（租）工作应符合有关法律规定。（3）入围供应商应尽量配合委托人对于项目的相关要求，积极主动开展工作，出具科学、切实可行的拍卖方案。（4）入围供应商应通过各种媒体，采取多种宣传手段进行充分宣传、发布拍卖公告，公告时间不少于七天，并由专人负责接受现场咨询。（5）投入本项目人员不少于5人。（6）入围供应商不得擅自将拍卖（租）项目转包给第三方。</w:t>
      </w:r>
    </w:p>
    <w:p>
      <w:pPr>
        <w:pStyle w:val="22"/>
        <w:ind w:firstLine="482" w:firstLineChars="200"/>
        <w:rPr>
          <w:rFonts w:ascii="宋体" w:hAnsi="宋体" w:cs="宋体"/>
          <w:b/>
          <w:bCs/>
        </w:rPr>
      </w:pPr>
      <w:r>
        <w:rPr>
          <w:rFonts w:hint="eastAsia" w:ascii="宋体" w:hAnsi="宋体" w:cs="宋体"/>
          <w:b/>
          <w:bCs/>
        </w:rPr>
        <w:t>6.2其他要求：</w:t>
      </w:r>
    </w:p>
    <w:p>
      <w:pPr>
        <w:pStyle w:val="2"/>
        <w:spacing w:line="360" w:lineRule="auto"/>
        <w:ind w:firstLine="480" w:firstLineChars="200"/>
        <w:rPr>
          <w:rFonts w:ascii="宋体" w:hAnsi="宋体" w:cs="宋体"/>
          <w:sz w:val="24"/>
        </w:rPr>
      </w:pPr>
      <w:r>
        <w:rPr>
          <w:rFonts w:hint="eastAsia" w:ascii="宋体" w:hAnsi="宋体" w:cs="宋体"/>
          <w:sz w:val="24"/>
        </w:rPr>
        <w:t>标段一：</w:t>
      </w:r>
    </w:p>
    <w:p>
      <w:pPr>
        <w:pStyle w:val="2"/>
        <w:spacing w:line="360" w:lineRule="auto"/>
        <w:ind w:firstLine="480" w:firstLineChars="200"/>
        <w:rPr>
          <w:rFonts w:ascii="宋体" w:hAnsi="宋体" w:cs="宋体"/>
          <w:sz w:val="24"/>
        </w:rPr>
      </w:pPr>
      <w:r>
        <w:rPr>
          <w:rFonts w:hint="eastAsia" w:ascii="宋体" w:hAnsi="宋体" w:cs="宋体"/>
          <w:sz w:val="24"/>
        </w:rPr>
        <w:t>1.开展评估</w:t>
      </w:r>
    </w:p>
    <w:p>
      <w:pPr>
        <w:pStyle w:val="2"/>
        <w:spacing w:line="360" w:lineRule="auto"/>
        <w:ind w:firstLine="480" w:firstLineChars="200"/>
        <w:rPr>
          <w:rFonts w:ascii="宋体" w:hAnsi="宋体" w:cs="宋体"/>
          <w:sz w:val="24"/>
        </w:rPr>
      </w:pPr>
      <w:r>
        <w:rPr>
          <w:rFonts w:hint="eastAsia" w:ascii="宋体" w:hAnsi="宋体" w:cs="宋体"/>
          <w:sz w:val="24"/>
        </w:rPr>
        <w:t>指定的供应商根据委托评估协议书的要求独立开展评估工作。原则上须在15个工作日内，根据国有资产管理及相关评估方法、要求完成评估，并出具书面专项评估报告，移交评估资料。</w:t>
      </w:r>
    </w:p>
    <w:p>
      <w:pPr>
        <w:pStyle w:val="2"/>
        <w:spacing w:line="360" w:lineRule="auto"/>
        <w:ind w:firstLine="480" w:firstLineChars="200"/>
        <w:rPr>
          <w:rFonts w:ascii="宋体" w:hAnsi="宋体" w:cs="宋体"/>
          <w:sz w:val="24"/>
        </w:rPr>
      </w:pPr>
      <w:r>
        <w:rPr>
          <w:rFonts w:hint="eastAsia" w:ascii="宋体" w:hAnsi="宋体" w:cs="宋体"/>
          <w:sz w:val="24"/>
        </w:rPr>
        <w:t>指定的供应商应接受国有资产行政管理部门的业务指导。对评估工作中出现重大分歧而又确需协调解决的问题，由指定的供应商提出书面意见（应附调查取证资料、建议处理方案以及相关单位意见），南通市财政局会同有关单位共同核实资料和具体情况，经研究达成处理意见，由指定的供应商在其评估报告中调整；对分歧较大影响评估进度的，由指定的供应商提出要求调整评估时间的书面申请，经南通市财政局核准后给予调整评估时间；对在评估过程中发现由于委托单位提供的送审资料不全，且由于补送资料不及时而严重影响评估进度的，由指定的供应商提出要求延长评估时间的书面申请，经委托单位核准后给予调整评估时间。</w:t>
      </w:r>
    </w:p>
    <w:p>
      <w:pPr>
        <w:pStyle w:val="2"/>
        <w:spacing w:line="360" w:lineRule="auto"/>
        <w:ind w:firstLine="480" w:firstLineChars="200"/>
        <w:rPr>
          <w:rFonts w:ascii="宋体" w:hAnsi="宋体" w:cs="宋体"/>
          <w:sz w:val="24"/>
        </w:rPr>
      </w:pPr>
      <w:r>
        <w:rPr>
          <w:rFonts w:hint="eastAsia" w:ascii="宋体" w:hAnsi="宋体" w:cs="宋体"/>
          <w:sz w:val="24"/>
        </w:rPr>
        <w:t>指定的供应商根据委托评估合同和评估项目的具体要求，依法执业、客观公正地出具专项评估报告等材料，严格履行保密义务。评估报告应有具体评估人员、指定的供应商负责人签字盖章确认的书面意见。</w:t>
      </w:r>
    </w:p>
    <w:p>
      <w:pPr>
        <w:pStyle w:val="2"/>
        <w:spacing w:line="360" w:lineRule="auto"/>
        <w:ind w:firstLine="480" w:firstLineChars="200"/>
        <w:rPr>
          <w:rFonts w:ascii="宋体" w:hAnsi="宋体" w:cs="宋体"/>
          <w:sz w:val="24"/>
        </w:rPr>
      </w:pPr>
      <w:r>
        <w:rPr>
          <w:rFonts w:hint="eastAsia" w:ascii="宋体" w:hAnsi="宋体" w:cs="宋体"/>
          <w:sz w:val="24"/>
        </w:rPr>
        <w:t>2.业务费支付</w:t>
      </w:r>
    </w:p>
    <w:p>
      <w:pPr>
        <w:pStyle w:val="2"/>
        <w:spacing w:line="360" w:lineRule="auto"/>
        <w:ind w:firstLine="480" w:firstLineChars="200"/>
        <w:rPr>
          <w:rFonts w:ascii="宋体" w:hAnsi="宋体" w:cs="宋体"/>
          <w:sz w:val="24"/>
        </w:rPr>
      </w:pPr>
      <w:r>
        <w:rPr>
          <w:rFonts w:hint="eastAsia" w:ascii="宋体" w:hAnsi="宋体" w:cs="宋体"/>
          <w:sz w:val="24"/>
        </w:rPr>
        <w:t>在完成项目委托评估服务后，由委托评估的单位根据统一费率支付评估业务费。</w:t>
      </w:r>
    </w:p>
    <w:p>
      <w:pPr>
        <w:pStyle w:val="2"/>
        <w:spacing w:line="360" w:lineRule="auto"/>
        <w:ind w:firstLine="480" w:firstLineChars="200"/>
        <w:rPr>
          <w:rFonts w:ascii="宋体" w:hAnsi="宋体" w:cs="宋体"/>
          <w:sz w:val="24"/>
        </w:rPr>
      </w:pPr>
      <w:r>
        <w:rPr>
          <w:rFonts w:hint="eastAsia" w:ascii="宋体" w:hAnsi="宋体" w:cs="宋体"/>
          <w:sz w:val="24"/>
        </w:rPr>
        <w:t>3.委托评估责任</w:t>
      </w:r>
    </w:p>
    <w:p>
      <w:pPr>
        <w:pStyle w:val="2"/>
        <w:spacing w:line="360" w:lineRule="auto"/>
        <w:ind w:firstLine="480" w:firstLineChars="200"/>
        <w:rPr>
          <w:rFonts w:ascii="宋体" w:hAnsi="宋体" w:cs="宋体"/>
          <w:sz w:val="24"/>
        </w:rPr>
      </w:pPr>
      <w:r>
        <w:rPr>
          <w:rFonts w:hint="eastAsia" w:ascii="宋体" w:hAnsi="宋体" w:cs="宋体"/>
          <w:sz w:val="24"/>
        </w:rPr>
        <w:t>指定的供应商应确保质量，按时完成评估工作。评估工作应当严格遵守国家的有关法律、法规、制度规定及有关执业规范要求。指定的供应商对评估意见的真实性、完整性、可靠性负责, 采购人或委托人不得干预评估机构工作，维护评估的独立性、公信度。评估报告只向南通市财政局和委托人提供，不得自行提供给其他单位。对提供不实或内容虚假的评估结果以及自行对外提供评估报告的，除由评估机构自行承担责任外，南通市财政局或委托人可采取必要措施终止委托，情节严重的，依法提请有关部门追究指定的供应商和相关责任人的行政及法律责任。</w:t>
      </w:r>
    </w:p>
    <w:p>
      <w:pPr>
        <w:pStyle w:val="2"/>
        <w:spacing w:line="360" w:lineRule="auto"/>
        <w:ind w:firstLine="480" w:firstLineChars="200"/>
        <w:rPr>
          <w:rFonts w:ascii="宋体" w:hAnsi="宋体" w:cs="宋体"/>
          <w:sz w:val="24"/>
        </w:rPr>
      </w:pPr>
      <w:r>
        <w:rPr>
          <w:rFonts w:hint="eastAsia" w:ascii="宋体" w:hAnsi="宋体" w:cs="宋体"/>
          <w:sz w:val="24"/>
        </w:rPr>
        <w:t>4.违约责任</w:t>
      </w:r>
    </w:p>
    <w:p>
      <w:pPr>
        <w:pStyle w:val="2"/>
        <w:spacing w:line="360" w:lineRule="auto"/>
        <w:ind w:firstLine="480" w:firstLineChars="200"/>
        <w:rPr>
          <w:rFonts w:ascii="宋体" w:hAnsi="宋体" w:cs="宋体"/>
          <w:sz w:val="24"/>
        </w:rPr>
      </w:pPr>
      <w:r>
        <w:rPr>
          <w:rFonts w:hint="eastAsia" w:ascii="宋体" w:hAnsi="宋体" w:cs="宋体"/>
          <w:sz w:val="24"/>
        </w:rPr>
        <w:t>指定的供应商未能在委托评估任务书要求的时间内（含同意延长的时间）提交评估报告视为违约。违约1次，南通市财政局在违约之日起3个月内暂停其委托评估资格；同时南通市财政局有权责令委托人将未能在规定时间内完成的项目抽回，对指定的供应商可能已发生的费用委托人不予支付；累计3次违约，南通市财政局有权终止合同，此后3年内不接受其报名。</w:t>
      </w:r>
    </w:p>
    <w:p>
      <w:pPr>
        <w:pStyle w:val="2"/>
        <w:spacing w:line="360" w:lineRule="auto"/>
        <w:ind w:firstLine="480" w:firstLineChars="200"/>
        <w:rPr>
          <w:rFonts w:ascii="宋体" w:hAnsi="宋体" w:cs="宋体"/>
          <w:sz w:val="24"/>
        </w:rPr>
      </w:pPr>
      <w:r>
        <w:rPr>
          <w:rFonts w:hint="eastAsia" w:ascii="宋体" w:hAnsi="宋体" w:cs="宋体"/>
          <w:sz w:val="24"/>
        </w:rPr>
        <w:t>擅自变更项目评估人员或出现非专业人员参与评估工作时，委托人发出书面警告，2次书面警告则视为违约一次，委托人书面通知并由南通市财政局决定在违约之日起3个月内暂停其委托评估；对在评估过程出现将委托业务外包或请非正式职工参与评估工作的，南通市财政局有权终止协议，此后3年内不接受其报名。</w:t>
      </w:r>
    </w:p>
    <w:p>
      <w:pPr>
        <w:pStyle w:val="2"/>
        <w:spacing w:line="360" w:lineRule="auto"/>
        <w:ind w:firstLine="480" w:firstLineChars="200"/>
        <w:rPr>
          <w:rFonts w:ascii="宋体" w:hAnsi="宋体" w:cs="宋体"/>
          <w:sz w:val="24"/>
        </w:rPr>
      </w:pPr>
      <w:r>
        <w:rPr>
          <w:rFonts w:hint="eastAsia" w:ascii="宋体" w:hAnsi="宋体" w:cs="宋体"/>
          <w:sz w:val="24"/>
        </w:rPr>
        <w:t>对南通市财政局复核意见未予落实，或对评估重大事项未按规定商洽、擅自处理的，南通市财政局发出书面警告，一次书面警告则视为违约一次，南通市财政局在违约之日起3个月内暂停其委托评估；对于达到质量违约规定的，指定供应商需同时承担相应违约责任。</w:t>
      </w:r>
    </w:p>
    <w:p>
      <w:pPr>
        <w:pStyle w:val="2"/>
        <w:spacing w:line="360" w:lineRule="auto"/>
        <w:ind w:firstLine="480" w:firstLineChars="200"/>
        <w:rPr>
          <w:rFonts w:ascii="宋体" w:hAnsi="宋体" w:cs="宋体"/>
          <w:sz w:val="24"/>
        </w:rPr>
      </w:pPr>
      <w:r>
        <w:rPr>
          <w:rFonts w:hint="eastAsia" w:ascii="宋体" w:hAnsi="宋体" w:cs="宋体"/>
          <w:sz w:val="24"/>
        </w:rPr>
        <w:t>5.评估资料保管</w:t>
      </w:r>
    </w:p>
    <w:p>
      <w:pPr>
        <w:pStyle w:val="2"/>
        <w:spacing w:line="360" w:lineRule="auto"/>
        <w:ind w:firstLine="480" w:firstLineChars="200"/>
        <w:rPr>
          <w:rFonts w:ascii="宋体" w:hAnsi="宋体" w:cs="宋体"/>
          <w:sz w:val="24"/>
        </w:rPr>
      </w:pPr>
      <w:r>
        <w:rPr>
          <w:rFonts w:hint="eastAsia" w:ascii="宋体" w:hAnsi="宋体" w:cs="宋体"/>
          <w:sz w:val="24"/>
        </w:rPr>
        <w:t>指定供应商应加强对评估资料的保管。指定供应商在完成项目评估后，应按国有资产行政管理部门要求对评估资料存档保管，对档案管理不善的评估机构予以警告，直至不再对其进行委托。</w:t>
      </w:r>
    </w:p>
    <w:p>
      <w:pPr>
        <w:pStyle w:val="2"/>
        <w:spacing w:line="360" w:lineRule="auto"/>
        <w:ind w:firstLine="480" w:firstLineChars="200"/>
        <w:rPr>
          <w:rFonts w:ascii="宋体" w:hAnsi="宋体" w:cs="宋体"/>
          <w:sz w:val="24"/>
        </w:rPr>
      </w:pPr>
      <w:r>
        <w:rPr>
          <w:rFonts w:hint="eastAsia" w:ascii="宋体" w:hAnsi="宋体" w:cs="宋体"/>
          <w:sz w:val="24"/>
        </w:rPr>
        <w:t>标段二：</w:t>
      </w:r>
    </w:p>
    <w:p>
      <w:pPr>
        <w:pStyle w:val="2"/>
        <w:spacing w:line="360" w:lineRule="auto"/>
        <w:ind w:firstLine="480" w:firstLineChars="200"/>
        <w:rPr>
          <w:rFonts w:ascii="宋体" w:hAnsi="宋体" w:cs="宋体"/>
          <w:sz w:val="24"/>
        </w:rPr>
      </w:pPr>
      <w:r>
        <w:rPr>
          <w:rFonts w:hint="eastAsia" w:ascii="宋体" w:hAnsi="宋体" w:cs="宋体"/>
          <w:sz w:val="24"/>
        </w:rPr>
        <w:t>1.业务费支付：项目成交后，由买受人按照统一费率支付拍卖（租）业务费。</w:t>
      </w:r>
    </w:p>
    <w:p>
      <w:pPr>
        <w:pStyle w:val="2"/>
        <w:spacing w:line="360" w:lineRule="auto"/>
        <w:ind w:firstLine="480" w:firstLineChars="200"/>
        <w:rPr>
          <w:rFonts w:ascii="宋体" w:hAnsi="宋体" w:cs="宋体"/>
          <w:sz w:val="24"/>
        </w:rPr>
      </w:pPr>
      <w:r>
        <w:rPr>
          <w:rFonts w:hint="eastAsia" w:ascii="宋体" w:hAnsi="宋体" w:cs="宋体"/>
          <w:sz w:val="24"/>
        </w:rPr>
        <w:t>2.入围供应商责任</w:t>
      </w:r>
    </w:p>
    <w:p>
      <w:pPr>
        <w:pStyle w:val="2"/>
        <w:spacing w:line="360" w:lineRule="auto"/>
        <w:ind w:firstLine="480" w:firstLineChars="200"/>
        <w:rPr>
          <w:rFonts w:ascii="宋体" w:hAnsi="宋体" w:cs="宋体"/>
          <w:sz w:val="24"/>
        </w:rPr>
      </w:pPr>
      <w:r>
        <w:rPr>
          <w:rFonts w:hint="eastAsia" w:ascii="宋体" w:hAnsi="宋体" w:cs="宋体"/>
          <w:sz w:val="24"/>
        </w:rPr>
        <w:t>委托人从入围供应商中直接指定供应商提供服务，指定供应商应该在5日内和委托人签订委托合同。指定供应商根据委托人和拍卖（租）标的具体要求独立公正地开展工作，并应当严格遵守国家的有关法律、法规、制度规定及相关执业规范要求。对委托拍卖（租）项目履行过程中出现的违规、违法行为等，除由指定供应商自行承担责任外，南通市财政局可采取必要措施终止业务服务机构资格；情节严重的，依法提请有关部门追究业务服务机构和相关责任人的行政及法律责任。指定供应商在业务承办过程中，应尽可能扩大其信息发布范围，广泛征集项目意向方，促进项目成交。</w:t>
      </w:r>
    </w:p>
    <w:p>
      <w:pPr>
        <w:pStyle w:val="2"/>
        <w:spacing w:line="360" w:lineRule="auto"/>
        <w:ind w:firstLine="480" w:firstLineChars="200"/>
        <w:rPr>
          <w:rFonts w:ascii="宋体" w:hAnsi="宋体" w:cs="宋体"/>
          <w:sz w:val="24"/>
        </w:rPr>
      </w:pPr>
      <w:r>
        <w:rPr>
          <w:rFonts w:hint="eastAsia" w:ascii="宋体" w:hAnsi="宋体" w:cs="宋体"/>
          <w:sz w:val="24"/>
        </w:rPr>
        <w:t>入围供应商应加强对拍卖代理资料的整理和保管。在完成项目后，应按有关管理部门要求对接受委托过程中的全部资料存档保管，并将相关资料送交委托人及南通市财政局。对档案管理不完善的入围供应商，予以警告直至不再对其进行委托。</w:t>
      </w:r>
    </w:p>
    <w:p>
      <w:pPr>
        <w:pStyle w:val="2"/>
        <w:spacing w:line="360" w:lineRule="auto"/>
        <w:ind w:firstLine="480" w:firstLineChars="200"/>
        <w:rPr>
          <w:rFonts w:ascii="宋体" w:hAnsi="宋体" w:cs="宋体"/>
          <w:sz w:val="24"/>
        </w:rPr>
      </w:pPr>
      <w:r>
        <w:rPr>
          <w:rFonts w:hint="eastAsia" w:ascii="宋体" w:hAnsi="宋体" w:cs="宋体"/>
          <w:sz w:val="24"/>
        </w:rPr>
        <w:t>服务机构在合同执行期内，因办理本次招标的合同范围内的服务项目受到投诉或质疑，且成立的，南通市财政局将把相关投诉或质疑结果记录在案，情节严重的，将终止业务服务机构资格，此后3年内不接受其报名。</w:t>
      </w:r>
    </w:p>
    <w:p>
      <w:pPr>
        <w:rPr>
          <w:rFonts w:ascii="宋体" w:hAnsi="宋体" w:cs="宋体"/>
        </w:rPr>
      </w:pPr>
    </w:p>
    <w:p>
      <w:pPr>
        <w:numPr>
          <w:ilvl w:val="255"/>
          <w:numId w:val="0"/>
        </w:numPr>
        <w:spacing w:line="360" w:lineRule="auto"/>
        <w:ind w:right="49"/>
        <w:rPr>
          <w:rFonts w:ascii="宋体" w:hAnsi="宋体" w:cs="宋体"/>
          <w:sz w:val="24"/>
          <w:lang w:eastAsia="zh-Hans"/>
        </w:rPr>
      </w:pPr>
      <w:r>
        <w:rPr>
          <w:rFonts w:hint="eastAsia" w:ascii="宋体" w:hAnsi="宋体" w:cs="宋体"/>
          <w:sz w:val="24"/>
        </w:rPr>
        <w:t>七、</w:t>
      </w:r>
      <w:r>
        <w:rPr>
          <w:rFonts w:hint="eastAsia" w:ascii="宋体" w:hAnsi="宋体" w:cs="宋体"/>
          <w:sz w:val="24"/>
          <w:lang w:eastAsia="zh-Hans"/>
        </w:rPr>
        <w:t>服务时间</w:t>
      </w:r>
    </w:p>
    <w:p>
      <w:pPr>
        <w:spacing w:line="360" w:lineRule="auto"/>
        <w:ind w:right="49"/>
        <w:rPr>
          <w:rFonts w:ascii="宋体" w:hAnsi="宋体" w:cs="宋体"/>
          <w:sz w:val="24"/>
        </w:rPr>
      </w:pPr>
      <w:r>
        <w:rPr>
          <w:rFonts w:hint="eastAsia" w:ascii="宋体" w:hAnsi="宋体" w:cs="宋体"/>
          <w:sz w:val="24"/>
          <w:lang w:eastAsia="zh-Hans"/>
        </w:rPr>
        <w:t>标段一：</w:t>
      </w:r>
      <w:r>
        <w:rPr>
          <w:rFonts w:hint="eastAsia" w:ascii="宋体" w:hAnsi="宋体" w:cs="宋体"/>
          <w:sz w:val="24"/>
        </w:rPr>
        <w:t>原则上须在15个工作日内，根据国有资产管理及相关评估方法、要求完成评估，并出具书面专项评估报告，移交评估资料；</w:t>
      </w:r>
    </w:p>
    <w:p>
      <w:pPr>
        <w:spacing w:line="360" w:lineRule="auto"/>
        <w:ind w:right="49"/>
        <w:rPr>
          <w:rFonts w:ascii="宋体" w:hAnsi="宋体" w:cs="宋体"/>
          <w:sz w:val="24"/>
        </w:rPr>
      </w:pPr>
      <w:r>
        <w:rPr>
          <w:rFonts w:hint="eastAsia" w:ascii="宋体" w:hAnsi="宋体" w:cs="宋体"/>
          <w:sz w:val="24"/>
          <w:lang w:eastAsia="zh-Hans"/>
        </w:rPr>
        <w:t>标段二：</w:t>
      </w:r>
      <w:r>
        <w:rPr>
          <w:rFonts w:hint="eastAsia" w:ascii="宋体" w:hAnsi="宋体" w:cs="宋体"/>
          <w:sz w:val="24"/>
        </w:rPr>
        <w:t>确定服务机构后，中选单位应该在5个工作日内和委托方签订委托合同。</w:t>
      </w:r>
    </w:p>
    <w:p>
      <w:pPr>
        <w:numPr>
          <w:ilvl w:val="255"/>
          <w:numId w:val="0"/>
        </w:numPr>
        <w:spacing w:line="360" w:lineRule="auto"/>
        <w:ind w:right="49"/>
        <w:rPr>
          <w:rFonts w:ascii="宋体" w:hAnsi="宋体" w:cs="宋体"/>
          <w:sz w:val="24"/>
          <w:lang w:eastAsia="zh-Hans"/>
        </w:rPr>
      </w:pPr>
      <w:r>
        <w:rPr>
          <w:rFonts w:hint="eastAsia" w:ascii="宋体" w:hAnsi="宋体" w:cs="宋体"/>
          <w:sz w:val="24"/>
        </w:rPr>
        <w:t>八、</w:t>
      </w:r>
      <w:r>
        <w:rPr>
          <w:rFonts w:hint="eastAsia" w:ascii="宋体" w:hAnsi="宋体" w:cs="宋体"/>
          <w:sz w:val="24"/>
          <w:lang w:eastAsia="zh-Hans"/>
        </w:rPr>
        <w:t>争议处置</w:t>
      </w:r>
    </w:p>
    <w:p>
      <w:pPr>
        <w:spacing w:line="360" w:lineRule="auto"/>
        <w:ind w:right="49"/>
        <w:rPr>
          <w:rFonts w:ascii="宋体" w:hAnsi="宋体" w:cs="宋体"/>
          <w:sz w:val="24"/>
        </w:rPr>
      </w:pPr>
      <w:r>
        <w:rPr>
          <w:rFonts w:hint="eastAsia" w:ascii="宋体" w:hAnsi="宋体" w:cs="宋体"/>
          <w:sz w:val="24"/>
        </w:rPr>
        <w:t>在执行本协议中所发生的的一切争议，各方应通过友好协商的办法进行解决，如协商不能解决的，有关当事方可向采购人所在地人民法院提起诉讼。</w:t>
      </w:r>
    </w:p>
    <w:p>
      <w:pPr>
        <w:spacing w:before="1" w:line="220" w:lineRule="auto"/>
        <w:ind w:left="24"/>
        <w:rPr>
          <w:rFonts w:ascii="宋体" w:hAnsi="宋体" w:cs="宋体"/>
          <w:sz w:val="24"/>
        </w:rPr>
      </w:pPr>
      <w:r>
        <w:rPr>
          <w:rFonts w:hint="eastAsia" w:ascii="宋体" w:hAnsi="宋体" w:cs="宋体"/>
        </w:rPr>
        <w:t>九、</w:t>
      </w:r>
      <w:r>
        <w:rPr>
          <w:rFonts w:hint="eastAsia" w:ascii="宋体" w:hAnsi="宋体" w:cs="宋体"/>
          <w:sz w:val="24"/>
        </w:rPr>
        <w:t>需要约定的其他事项</w:t>
      </w:r>
    </w:p>
    <w:p>
      <w:pPr>
        <w:spacing w:before="182" w:line="364" w:lineRule="auto"/>
        <w:ind w:left="23" w:right="159" w:firstLine="503"/>
        <w:rPr>
          <w:rFonts w:ascii="宋体" w:hAnsi="宋体" w:cs="宋体"/>
          <w:spacing w:val="-1"/>
          <w:sz w:val="24"/>
        </w:rPr>
      </w:pPr>
      <w:r>
        <w:rPr>
          <w:rFonts w:hint="eastAsia" w:ascii="宋体" w:hAnsi="宋体" w:cs="宋体"/>
          <w:spacing w:val="-2"/>
          <w:sz w:val="24"/>
        </w:rPr>
        <w:t>乙</w:t>
      </w:r>
      <w:r>
        <w:rPr>
          <w:rFonts w:hint="eastAsia" w:ascii="宋体" w:hAnsi="宋体" w:cs="宋体"/>
          <w:spacing w:val="-1"/>
          <w:sz w:val="24"/>
        </w:rPr>
        <w:t>方应对在执行审核过程中知悉的商业秘密及甲方提供的信息、资料保密</w:t>
      </w:r>
      <w:r>
        <w:rPr>
          <w:rFonts w:hint="eastAsia" w:ascii="宋体" w:hAnsi="宋体" w:cs="宋体"/>
          <w:sz w:val="24"/>
        </w:rPr>
        <w:t>。</w:t>
      </w:r>
      <w:r>
        <w:rPr>
          <w:rFonts w:hint="eastAsia" w:ascii="宋体" w:hAnsi="宋体" w:cs="宋体"/>
          <w:spacing w:val="-2"/>
          <w:sz w:val="24"/>
        </w:rPr>
        <w:t>本项保密义务不因本协议权利义务终止而解除，</w:t>
      </w:r>
      <w:r>
        <w:rPr>
          <w:rFonts w:hint="eastAsia" w:ascii="宋体" w:hAnsi="宋体" w:cs="宋体"/>
          <w:spacing w:val="-1"/>
          <w:sz w:val="24"/>
        </w:rPr>
        <w:t>在履行协议期间和审核项目结束后，未经甲方的书</w:t>
      </w:r>
      <w:r>
        <w:rPr>
          <w:rFonts w:hint="eastAsia" w:ascii="宋体" w:hAnsi="宋体" w:cs="宋体"/>
          <w:sz w:val="24"/>
        </w:rPr>
        <w:t>面同意，不得泄露与本协议规定业务活动有关的保密资</w:t>
      </w:r>
      <w:r>
        <w:rPr>
          <w:rFonts w:hint="eastAsia" w:ascii="宋体" w:hAnsi="宋体" w:cs="宋体"/>
          <w:spacing w:val="-2"/>
          <w:sz w:val="24"/>
        </w:rPr>
        <w:t>料，如遇其人员泄密的，乙方应承</w:t>
      </w:r>
      <w:r>
        <w:rPr>
          <w:rFonts w:hint="eastAsia" w:ascii="宋体" w:hAnsi="宋体" w:cs="宋体"/>
          <w:spacing w:val="-1"/>
          <w:sz w:val="24"/>
        </w:rPr>
        <w:t>担一切由此引发的法律后果。</w:t>
      </w:r>
    </w:p>
    <w:p>
      <w:pPr>
        <w:spacing w:before="182" w:line="364" w:lineRule="auto"/>
        <w:ind w:left="23" w:right="159" w:firstLine="503"/>
        <w:rPr>
          <w:rFonts w:ascii="宋体" w:hAnsi="宋体" w:cs="宋体"/>
          <w:spacing w:val="-2"/>
          <w:sz w:val="24"/>
        </w:rPr>
      </w:pPr>
      <w:r>
        <w:rPr>
          <w:rFonts w:hint="eastAsia" w:ascii="宋体" w:hAnsi="宋体" w:cs="宋体"/>
          <w:spacing w:val="-2"/>
          <w:sz w:val="24"/>
        </w:rPr>
        <w:t>本协议经甲乙双方法定代表人或被授权人签字和加盖公章后正式生效，本协议一式两份，签订合同的单位各执一份。</w:t>
      </w:r>
    </w:p>
    <w:p>
      <w:pPr>
        <w:spacing w:line="245" w:lineRule="auto"/>
        <w:rPr>
          <w:rFonts w:ascii="宋体" w:hAnsi="宋体" w:cs="宋体"/>
          <w:szCs w:val="21"/>
        </w:rPr>
      </w:pPr>
    </w:p>
    <w:p>
      <w:pPr>
        <w:spacing w:line="246" w:lineRule="auto"/>
        <w:rPr>
          <w:rFonts w:ascii="宋体" w:hAnsi="宋体" w:cs="宋体"/>
          <w:szCs w:val="21"/>
        </w:rPr>
      </w:pPr>
    </w:p>
    <w:p>
      <w:pPr>
        <w:spacing w:before="79" w:line="219" w:lineRule="auto"/>
        <w:ind w:left="386"/>
        <w:rPr>
          <w:rFonts w:ascii="宋体" w:hAnsi="宋体" w:cs="宋体"/>
          <w:sz w:val="24"/>
        </w:rPr>
      </w:pPr>
      <w:r>
        <w:rPr>
          <w:rFonts w:hint="eastAsia" w:ascii="宋体" w:hAnsi="宋体" w:cs="宋体"/>
          <w:spacing w:val="36"/>
          <w:sz w:val="24"/>
        </w:rPr>
        <w:t>征</w:t>
      </w:r>
      <w:r>
        <w:rPr>
          <w:rFonts w:hint="eastAsia" w:ascii="宋体" w:hAnsi="宋体" w:cs="宋体"/>
          <w:spacing w:val="28"/>
          <w:sz w:val="24"/>
        </w:rPr>
        <w:t>集</w:t>
      </w:r>
      <w:r>
        <w:rPr>
          <w:rFonts w:hint="eastAsia" w:ascii="宋体" w:hAnsi="宋体" w:cs="宋体"/>
          <w:spacing w:val="18"/>
          <w:sz w:val="24"/>
        </w:rPr>
        <w:t>人(甲方)：(盖章)             供应商(乙方)：(盖章)</w:t>
      </w:r>
    </w:p>
    <w:p>
      <w:pPr>
        <w:spacing w:line="293" w:lineRule="auto"/>
        <w:rPr>
          <w:rFonts w:ascii="宋体" w:hAnsi="宋体" w:cs="宋体"/>
          <w:szCs w:val="21"/>
        </w:rPr>
      </w:pPr>
    </w:p>
    <w:p>
      <w:pPr>
        <w:spacing w:before="78" w:line="220" w:lineRule="auto"/>
        <w:ind w:left="552"/>
        <w:rPr>
          <w:rFonts w:ascii="宋体" w:hAnsi="宋体" w:cs="宋体"/>
          <w:sz w:val="24"/>
        </w:rPr>
      </w:pPr>
      <w:r>
        <w:rPr>
          <w:rFonts w:hint="eastAsia" w:ascii="宋体" w:hAnsi="宋体" w:cs="宋体"/>
          <w:spacing w:val="-10"/>
          <w:sz w:val="24"/>
        </w:rPr>
        <w:t>法定代表</w:t>
      </w:r>
      <w:r>
        <w:rPr>
          <w:rFonts w:hint="eastAsia" w:ascii="宋体" w:hAnsi="宋体" w:cs="宋体"/>
          <w:spacing w:val="-9"/>
          <w:sz w:val="24"/>
        </w:rPr>
        <w:t>人</w:t>
      </w:r>
      <w:r>
        <w:rPr>
          <w:rFonts w:hint="eastAsia" w:ascii="宋体" w:hAnsi="宋体" w:cs="宋体"/>
          <w:spacing w:val="-5"/>
          <w:sz w:val="24"/>
        </w:rPr>
        <w:t>或授权代表：                   法定代表人或授权代表：</w:t>
      </w:r>
    </w:p>
    <w:p>
      <w:pPr>
        <w:spacing w:line="289" w:lineRule="auto"/>
        <w:rPr>
          <w:rFonts w:ascii="宋体" w:hAnsi="宋体" w:cs="宋体"/>
          <w:szCs w:val="21"/>
        </w:rPr>
      </w:pPr>
    </w:p>
    <w:p>
      <w:pPr>
        <w:spacing w:before="79" w:line="229" w:lineRule="auto"/>
        <w:ind w:left="551"/>
        <w:rPr>
          <w:rFonts w:ascii="宋体" w:hAnsi="宋体" w:cs="宋体"/>
          <w:sz w:val="24"/>
        </w:rPr>
      </w:pPr>
      <w:r>
        <w:rPr>
          <w:rFonts w:hint="eastAsia" w:ascii="宋体" w:hAnsi="宋体" w:cs="宋体"/>
          <w:spacing w:val="-10"/>
          <w:sz w:val="24"/>
        </w:rPr>
        <w:t>地址：</w:t>
      </w:r>
      <w:r>
        <w:rPr>
          <w:rFonts w:hint="eastAsia" w:ascii="宋体" w:hAnsi="宋体" w:cs="宋体"/>
          <w:spacing w:val="-5"/>
          <w:sz w:val="24"/>
        </w:rPr>
        <w:t xml:space="preserve">                                   地址：</w:t>
      </w:r>
    </w:p>
    <w:p>
      <w:pPr>
        <w:spacing w:line="277" w:lineRule="auto"/>
        <w:rPr>
          <w:rFonts w:ascii="宋体" w:hAnsi="宋体" w:cs="宋体"/>
          <w:szCs w:val="21"/>
        </w:rPr>
      </w:pPr>
    </w:p>
    <w:p>
      <w:pPr>
        <w:spacing w:before="79" w:line="221" w:lineRule="auto"/>
        <w:ind w:left="552"/>
        <w:rPr>
          <w:rFonts w:ascii="宋体" w:hAnsi="宋体" w:cs="宋体"/>
          <w:sz w:val="24"/>
        </w:rPr>
      </w:pPr>
      <w:r>
        <w:rPr>
          <w:rFonts w:hint="eastAsia" w:ascii="宋体" w:hAnsi="宋体" w:cs="宋体"/>
          <w:spacing w:val="-6"/>
          <w:sz w:val="24"/>
        </w:rPr>
        <w:t xml:space="preserve">联系方式：    </w:t>
      </w:r>
      <w:r>
        <w:rPr>
          <w:rFonts w:hint="eastAsia" w:ascii="宋体" w:hAnsi="宋体" w:cs="宋体"/>
          <w:spacing w:val="-5"/>
          <w:sz w:val="24"/>
        </w:rPr>
        <w:t xml:space="preserve"> </w:t>
      </w:r>
      <w:r>
        <w:rPr>
          <w:rFonts w:hint="eastAsia" w:ascii="宋体" w:hAnsi="宋体" w:cs="宋体"/>
          <w:spacing w:val="-3"/>
          <w:sz w:val="24"/>
        </w:rPr>
        <w:t xml:space="preserve">                          联系方式：</w:t>
      </w:r>
    </w:p>
    <w:p>
      <w:pPr>
        <w:spacing w:line="286" w:lineRule="auto"/>
        <w:rPr>
          <w:rFonts w:ascii="宋体" w:hAnsi="宋体" w:cs="宋体"/>
          <w:szCs w:val="21"/>
        </w:rPr>
      </w:pPr>
    </w:p>
    <w:p>
      <w:pPr>
        <w:spacing w:before="78" w:line="220" w:lineRule="auto"/>
        <w:ind w:left="552"/>
        <w:rPr>
          <w:rFonts w:ascii="宋体" w:hAnsi="宋体" w:cs="宋体"/>
          <w:sz w:val="24"/>
        </w:rPr>
      </w:pPr>
      <w:r>
        <w:rPr>
          <w:rFonts w:hint="eastAsia" w:ascii="宋体" w:hAnsi="宋体" w:cs="宋体"/>
          <w:spacing w:val="-6"/>
          <w:sz w:val="24"/>
        </w:rPr>
        <w:t xml:space="preserve">开户银行：    </w:t>
      </w:r>
      <w:r>
        <w:rPr>
          <w:rFonts w:hint="eastAsia" w:ascii="宋体" w:hAnsi="宋体" w:cs="宋体"/>
          <w:spacing w:val="-5"/>
          <w:sz w:val="24"/>
        </w:rPr>
        <w:t xml:space="preserve"> </w:t>
      </w:r>
      <w:r>
        <w:rPr>
          <w:rFonts w:hint="eastAsia" w:ascii="宋体" w:hAnsi="宋体" w:cs="宋体"/>
          <w:spacing w:val="-3"/>
          <w:sz w:val="24"/>
        </w:rPr>
        <w:t xml:space="preserve">                          开户银行：</w:t>
      </w:r>
    </w:p>
    <w:p>
      <w:pPr>
        <w:spacing w:line="289" w:lineRule="auto"/>
        <w:rPr>
          <w:rFonts w:ascii="宋体" w:hAnsi="宋体" w:cs="宋体"/>
          <w:szCs w:val="21"/>
        </w:rPr>
      </w:pPr>
    </w:p>
    <w:p>
      <w:pPr>
        <w:spacing w:before="78" w:line="221" w:lineRule="auto"/>
        <w:ind w:left="555"/>
        <w:rPr>
          <w:rFonts w:ascii="宋体" w:hAnsi="宋体" w:cs="宋体"/>
          <w:sz w:val="24"/>
        </w:rPr>
      </w:pPr>
      <w:r>
        <w:rPr>
          <w:rFonts w:hint="eastAsia" w:ascii="宋体" w:hAnsi="宋体" w:cs="宋体"/>
          <w:spacing w:val="-8"/>
          <w:sz w:val="24"/>
        </w:rPr>
        <w:t xml:space="preserve">账号：   </w:t>
      </w:r>
      <w:r>
        <w:rPr>
          <w:rFonts w:hint="eastAsia" w:ascii="宋体" w:hAnsi="宋体" w:cs="宋体"/>
          <w:spacing w:val="-6"/>
          <w:sz w:val="24"/>
        </w:rPr>
        <w:t xml:space="preserve"> </w:t>
      </w:r>
      <w:r>
        <w:rPr>
          <w:rFonts w:hint="eastAsia" w:ascii="宋体" w:hAnsi="宋体" w:cs="宋体"/>
          <w:spacing w:val="-4"/>
          <w:sz w:val="24"/>
        </w:rPr>
        <w:t xml:space="preserve">                               账号：</w:t>
      </w:r>
    </w:p>
    <w:p>
      <w:pPr>
        <w:spacing w:line="368" w:lineRule="auto"/>
        <w:rPr>
          <w:rFonts w:ascii="宋体" w:hAnsi="宋体" w:cs="宋体"/>
          <w:szCs w:val="21"/>
        </w:rPr>
      </w:pPr>
    </w:p>
    <w:p>
      <w:pPr>
        <w:spacing w:before="78" w:line="220" w:lineRule="auto"/>
        <w:ind w:left="593"/>
        <w:rPr>
          <w:rFonts w:ascii="宋体" w:hAnsi="宋体" w:cs="宋体"/>
        </w:rPr>
      </w:pPr>
      <w:r>
        <w:rPr>
          <w:rFonts w:hint="eastAsia" w:ascii="宋体" w:hAnsi="宋体" w:cs="宋体"/>
          <w:spacing w:val="-4"/>
          <w:sz w:val="24"/>
        </w:rPr>
        <w:t xml:space="preserve">日期：   年 月  日      </w:t>
      </w:r>
      <w:r>
        <w:rPr>
          <w:rFonts w:hint="eastAsia" w:ascii="宋体" w:hAnsi="宋体" w:cs="宋体"/>
          <w:spacing w:val="-3"/>
          <w:sz w:val="24"/>
        </w:rPr>
        <w:t xml:space="preserve"> </w:t>
      </w:r>
      <w:r>
        <w:rPr>
          <w:rFonts w:hint="eastAsia" w:ascii="宋体" w:hAnsi="宋体" w:cs="宋体"/>
          <w:spacing w:val="-2"/>
          <w:sz w:val="24"/>
        </w:rPr>
        <w:t xml:space="preserve">                日期：   年 月  日</w:t>
      </w:r>
    </w:p>
    <w:p>
      <w:pPr>
        <w:widowControl/>
        <w:jc w:val="left"/>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附件：</w:t>
      </w:r>
    </w:p>
    <w:p>
      <w:pPr>
        <w:spacing w:line="360" w:lineRule="auto"/>
        <w:jc w:val="center"/>
        <w:rPr>
          <w:rFonts w:ascii="宋体" w:hAnsi="宋体" w:cs="宋体"/>
          <w:color w:val="000000"/>
          <w:sz w:val="24"/>
        </w:rPr>
      </w:pPr>
      <w:r>
        <w:rPr>
          <w:rFonts w:hint="eastAsia" w:ascii="宋体" w:hAnsi="宋体" w:cs="宋体"/>
          <w:color w:val="000000"/>
          <w:sz w:val="24"/>
        </w:rPr>
        <w:t>项目组人员一览表</w:t>
      </w:r>
    </w:p>
    <w:tbl>
      <w:tblPr>
        <w:tblStyle w:val="16"/>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338"/>
        <w:gridCol w:w="1261"/>
        <w:gridCol w:w="2466"/>
        <w:gridCol w:w="177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029"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3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项目职务</w:t>
            </w:r>
          </w:p>
        </w:tc>
        <w:tc>
          <w:tcPr>
            <w:tcW w:w="1261"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姓名</w:t>
            </w:r>
          </w:p>
        </w:tc>
        <w:tc>
          <w:tcPr>
            <w:tcW w:w="2466" w:type="dxa"/>
            <w:shd w:val="clear" w:color="auto" w:fill="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身份证号码</w:t>
            </w:r>
          </w:p>
        </w:tc>
        <w:tc>
          <w:tcPr>
            <w:tcW w:w="1772" w:type="dxa"/>
            <w:shd w:val="clear" w:color="auto" w:fill="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执业资格</w:t>
            </w:r>
          </w:p>
        </w:tc>
        <w:tc>
          <w:tcPr>
            <w:tcW w:w="1737" w:type="dxa"/>
            <w:shd w:val="clear" w:color="auto" w:fill="auto"/>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338"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261"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46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7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737"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rPr>
          <w:rFonts w:ascii="宋体" w:hAnsi="宋体" w:cs="宋体"/>
          <w:sz w:val="24"/>
        </w:rPr>
      </w:pPr>
    </w:p>
    <w:p>
      <w:pPr>
        <w:rPr>
          <w:rFonts w:ascii="宋体" w:hAnsi="宋体" w:cs="宋体"/>
          <w:bCs/>
          <w:sz w:val="36"/>
          <w:szCs w:val="36"/>
        </w:rPr>
      </w:pPr>
      <w:r>
        <w:rPr>
          <w:rFonts w:hint="eastAsia" w:ascii="宋体" w:hAnsi="宋体" w:cs="宋体"/>
          <w:bCs/>
          <w:sz w:val="36"/>
          <w:szCs w:val="36"/>
        </w:rPr>
        <w:br w:type="page"/>
      </w:r>
    </w:p>
    <w:p>
      <w:pPr>
        <w:adjustRightInd w:val="0"/>
        <w:snapToGrid w:val="0"/>
        <w:spacing w:line="500" w:lineRule="exact"/>
        <w:jc w:val="center"/>
        <w:outlineLvl w:val="0"/>
        <w:rPr>
          <w:rFonts w:ascii="宋体" w:hAnsi="宋体" w:cs="宋体"/>
          <w:bCs/>
          <w:sz w:val="36"/>
          <w:szCs w:val="36"/>
        </w:rPr>
      </w:pPr>
      <w:r>
        <w:rPr>
          <w:rFonts w:hint="eastAsia" w:ascii="宋体" w:hAnsi="宋体" w:cs="宋体"/>
          <w:bCs/>
          <w:sz w:val="36"/>
          <w:szCs w:val="36"/>
        </w:rPr>
        <w:t>第六部分  响应文件组成</w:t>
      </w:r>
    </w:p>
    <w:p>
      <w:pPr>
        <w:adjustRightInd w:val="0"/>
        <w:snapToGrid w:val="0"/>
        <w:spacing w:line="500" w:lineRule="exact"/>
        <w:ind w:firstLine="555"/>
        <w:jc w:val="left"/>
        <w:rPr>
          <w:rFonts w:ascii="宋体" w:hAnsi="宋体" w:cs="宋体"/>
          <w:b/>
          <w:sz w:val="24"/>
        </w:rPr>
      </w:pPr>
      <w:r>
        <w:rPr>
          <w:rFonts w:hint="eastAsia" w:ascii="宋体" w:hAnsi="宋体" w:cs="宋体"/>
          <w:b/>
          <w:sz w:val="24"/>
        </w:rPr>
        <w:t>响应文件由资格审查证明材料、商务技术标、价格标三部分组成。</w:t>
      </w:r>
      <w:r>
        <w:rPr>
          <w:rFonts w:hint="eastAsia" w:ascii="宋体" w:hAnsi="宋体" w:cs="宋体"/>
          <w:b/>
          <w:bCs/>
          <w:kern w:val="0"/>
          <w:sz w:val="24"/>
          <w:lang w:val="zh-CN"/>
        </w:rPr>
        <w:t>请供应商根据本征集文件的要求</w:t>
      </w:r>
      <w:r>
        <w:rPr>
          <w:rFonts w:hint="eastAsia" w:ascii="宋体" w:hAnsi="宋体" w:cs="宋体"/>
          <w:b/>
          <w:bCs/>
          <w:kern w:val="0"/>
          <w:sz w:val="24"/>
          <w:lang w:eastAsia="zh-Hans"/>
        </w:rPr>
        <w:t>制作</w:t>
      </w:r>
      <w:r>
        <w:rPr>
          <w:rFonts w:hint="eastAsia" w:ascii="宋体" w:hAnsi="宋体" w:cs="宋体"/>
          <w:b/>
          <w:bCs/>
          <w:kern w:val="0"/>
          <w:sz w:val="24"/>
          <w:lang w:val="zh-CN"/>
        </w:rPr>
        <w:t>响应材料。</w:t>
      </w:r>
    </w:p>
    <w:p>
      <w:pPr>
        <w:adjustRightInd w:val="0"/>
        <w:snapToGrid w:val="0"/>
        <w:spacing w:line="500" w:lineRule="exact"/>
        <w:rPr>
          <w:rFonts w:ascii="宋体" w:hAnsi="宋体" w:cs="宋体"/>
          <w:b/>
          <w:bCs/>
          <w:kern w:val="0"/>
          <w:sz w:val="24"/>
          <w:lang w:val="zh-CN"/>
        </w:rPr>
      </w:pPr>
      <w:r>
        <w:rPr>
          <w:rFonts w:hint="eastAsia" w:ascii="宋体" w:hAnsi="宋体" w:cs="宋体"/>
          <w:b/>
          <w:bCs/>
          <w:kern w:val="0"/>
          <w:sz w:val="24"/>
          <w:lang w:val="zh-CN"/>
        </w:rPr>
        <w:t>一、资格审查证明材料（不能出现商务技术标、价格标）</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供应商符合《政府采购法》第二十二条规定条件的承诺函</w:t>
      </w:r>
      <w:r>
        <w:rPr>
          <w:rFonts w:hint="eastAsia" w:ascii="宋体" w:hAnsi="宋体" w:cs="宋体"/>
          <w:kern w:val="0"/>
          <w:sz w:val="24"/>
          <w:lang w:val="zh-CN"/>
        </w:rPr>
        <w:t>（格式见附件1）；</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2.法定代表人身份证明书（格式见附件2）；</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3.法定代表人授权委托书原件，响应代表本人身份证复印件（格式见附件3）；</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4.征集公告资格要求提供相应的佐证材料；</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5.其它需要提交的资格审查证明材料。</w:t>
      </w:r>
    </w:p>
    <w:p>
      <w:pPr>
        <w:adjustRightInd w:val="0"/>
        <w:snapToGrid w:val="0"/>
        <w:spacing w:line="500" w:lineRule="exact"/>
        <w:rPr>
          <w:rFonts w:ascii="宋体" w:hAnsi="宋体" w:cs="宋体"/>
          <w:kern w:val="0"/>
          <w:sz w:val="24"/>
        </w:rPr>
      </w:pPr>
      <w:r>
        <w:rPr>
          <w:rFonts w:hint="eastAsia" w:ascii="宋体" w:hAnsi="宋体" w:cs="宋体"/>
          <w:kern w:val="0"/>
          <w:sz w:val="24"/>
        </w:rPr>
        <w:t>6、远程开标承诺书</w:t>
      </w:r>
      <w:r>
        <w:rPr>
          <w:rFonts w:hint="eastAsia" w:ascii="宋体" w:hAnsi="宋体" w:cs="宋体"/>
          <w:kern w:val="0"/>
          <w:sz w:val="24"/>
          <w:lang w:val="zh-CN"/>
        </w:rPr>
        <w:t>（格式见附件</w:t>
      </w:r>
      <w:r>
        <w:rPr>
          <w:rFonts w:hint="eastAsia" w:ascii="宋体" w:hAnsi="宋体" w:cs="宋体"/>
          <w:kern w:val="0"/>
          <w:sz w:val="24"/>
        </w:rPr>
        <w:t>10</w:t>
      </w:r>
      <w:r>
        <w:rPr>
          <w:rFonts w:hint="eastAsia" w:ascii="宋体" w:hAnsi="宋体" w:cs="宋体"/>
          <w:kern w:val="0"/>
          <w:sz w:val="24"/>
          <w:lang w:val="zh-CN"/>
        </w:rPr>
        <w:t>）</w:t>
      </w:r>
    </w:p>
    <w:p>
      <w:pPr>
        <w:adjustRightInd w:val="0"/>
        <w:snapToGrid w:val="0"/>
        <w:spacing w:line="500" w:lineRule="exact"/>
        <w:rPr>
          <w:rFonts w:ascii="宋体" w:hAnsi="宋体" w:cs="宋体"/>
          <w:b/>
          <w:bCs/>
          <w:kern w:val="0"/>
          <w:sz w:val="24"/>
          <w:lang w:val="zh-CN"/>
        </w:rPr>
      </w:pPr>
      <w:r>
        <w:rPr>
          <w:rFonts w:hint="eastAsia" w:ascii="宋体" w:hAnsi="宋体" w:cs="宋体"/>
          <w:b/>
          <w:bCs/>
          <w:kern w:val="0"/>
          <w:sz w:val="24"/>
          <w:lang w:val="zh-CN"/>
        </w:rPr>
        <w:t>二、商务技术标（不能出现价格标）</w:t>
      </w:r>
    </w:p>
    <w:p>
      <w:pPr>
        <w:adjustRightInd w:val="0"/>
        <w:snapToGrid w:val="0"/>
        <w:spacing w:line="500" w:lineRule="exact"/>
        <w:rPr>
          <w:rFonts w:ascii="宋体" w:hAnsi="宋体" w:cs="宋体"/>
          <w:bCs/>
          <w:kern w:val="0"/>
          <w:sz w:val="24"/>
          <w:lang w:val="zh-CN"/>
        </w:rPr>
      </w:pPr>
      <w:r>
        <w:rPr>
          <w:rFonts w:hint="eastAsia" w:ascii="宋体" w:hAnsi="宋体" w:cs="宋体"/>
          <w:bCs/>
          <w:kern w:val="0"/>
          <w:sz w:val="24"/>
        </w:rPr>
        <w:t>1</w:t>
      </w:r>
      <w:r>
        <w:rPr>
          <w:rFonts w:hint="eastAsia" w:ascii="宋体" w:hAnsi="宋体" w:cs="宋体"/>
          <w:bCs/>
          <w:kern w:val="0"/>
          <w:sz w:val="24"/>
          <w:lang w:val="zh-CN"/>
        </w:rPr>
        <w:t>.商务部分正负偏离表；（格式见附件</w:t>
      </w:r>
      <w:r>
        <w:rPr>
          <w:rFonts w:hint="eastAsia" w:ascii="宋体" w:hAnsi="宋体" w:cs="宋体"/>
          <w:bCs/>
          <w:kern w:val="0"/>
          <w:sz w:val="24"/>
        </w:rPr>
        <w:t>4</w:t>
      </w:r>
      <w:r>
        <w:rPr>
          <w:rFonts w:hint="eastAsia" w:ascii="宋体" w:hAnsi="宋体" w:cs="宋体"/>
          <w:bCs/>
          <w:kern w:val="0"/>
          <w:sz w:val="24"/>
          <w:lang w:val="zh-CN"/>
        </w:rPr>
        <w:t>）</w:t>
      </w:r>
    </w:p>
    <w:p>
      <w:pPr>
        <w:adjustRightInd w:val="0"/>
        <w:snapToGrid w:val="0"/>
        <w:spacing w:line="500" w:lineRule="exact"/>
        <w:rPr>
          <w:rFonts w:ascii="宋体" w:hAnsi="宋体" w:cs="宋体"/>
          <w:bCs/>
          <w:kern w:val="0"/>
          <w:sz w:val="24"/>
          <w:lang w:val="zh-CN"/>
        </w:rPr>
      </w:pPr>
      <w:r>
        <w:rPr>
          <w:rFonts w:hint="eastAsia" w:ascii="宋体" w:hAnsi="宋体" w:cs="宋体"/>
          <w:bCs/>
          <w:kern w:val="0"/>
          <w:sz w:val="24"/>
        </w:rPr>
        <w:t>2</w:t>
      </w:r>
      <w:r>
        <w:rPr>
          <w:rFonts w:hint="eastAsia" w:ascii="宋体" w:hAnsi="宋体" w:cs="宋体"/>
          <w:bCs/>
          <w:kern w:val="0"/>
          <w:sz w:val="24"/>
          <w:lang w:val="zh-CN"/>
        </w:rPr>
        <w:t>.技术部分正负偏离表；（格式见附件</w:t>
      </w:r>
      <w:r>
        <w:rPr>
          <w:rFonts w:hint="eastAsia" w:ascii="宋体" w:hAnsi="宋体" w:cs="宋体"/>
          <w:bCs/>
          <w:kern w:val="0"/>
          <w:sz w:val="24"/>
        </w:rPr>
        <w:t>5</w:t>
      </w:r>
      <w:r>
        <w:rPr>
          <w:rFonts w:hint="eastAsia" w:ascii="宋体" w:hAnsi="宋体" w:cs="宋体"/>
          <w:bCs/>
          <w:kern w:val="0"/>
          <w:sz w:val="24"/>
          <w:lang w:val="zh-CN"/>
        </w:rPr>
        <w:t>）</w:t>
      </w:r>
    </w:p>
    <w:p>
      <w:pPr>
        <w:adjustRightInd w:val="0"/>
        <w:snapToGrid w:val="0"/>
        <w:spacing w:line="500" w:lineRule="exact"/>
        <w:rPr>
          <w:rFonts w:ascii="宋体" w:hAnsi="宋体" w:cs="宋体"/>
          <w:bCs/>
          <w:kern w:val="0"/>
          <w:sz w:val="24"/>
          <w:lang w:val="zh-CN"/>
        </w:rPr>
      </w:pPr>
      <w:r>
        <w:rPr>
          <w:rFonts w:hint="eastAsia" w:ascii="宋体" w:hAnsi="宋体" w:cs="宋体"/>
          <w:bCs/>
          <w:kern w:val="0"/>
          <w:sz w:val="24"/>
        </w:rPr>
        <w:t>3</w:t>
      </w:r>
      <w:r>
        <w:rPr>
          <w:rFonts w:hint="eastAsia" w:ascii="宋体" w:hAnsi="宋体" w:cs="宋体"/>
          <w:bCs/>
          <w:kern w:val="0"/>
          <w:sz w:val="24"/>
          <w:lang w:val="zh-CN"/>
        </w:rPr>
        <w:t>.商务技术评分标准中须提供的相关得分佐证材料；</w:t>
      </w:r>
    </w:p>
    <w:p>
      <w:pPr>
        <w:adjustRightInd w:val="0"/>
        <w:snapToGrid w:val="0"/>
        <w:spacing w:line="500" w:lineRule="exact"/>
        <w:rPr>
          <w:rFonts w:ascii="宋体" w:hAnsi="宋体" w:cs="宋体"/>
          <w:bCs/>
          <w:kern w:val="0"/>
          <w:sz w:val="24"/>
          <w:lang w:val="zh-CN"/>
        </w:rPr>
      </w:pPr>
      <w:r>
        <w:rPr>
          <w:rFonts w:hint="eastAsia" w:ascii="宋体" w:hAnsi="宋体" w:cs="宋体"/>
          <w:bCs/>
          <w:kern w:val="0"/>
          <w:sz w:val="24"/>
        </w:rPr>
        <w:t>4</w:t>
      </w:r>
      <w:r>
        <w:rPr>
          <w:rFonts w:hint="eastAsia" w:ascii="宋体" w:hAnsi="宋体" w:cs="宋体"/>
          <w:bCs/>
          <w:kern w:val="0"/>
          <w:sz w:val="24"/>
          <w:lang w:val="zh-CN"/>
        </w:rPr>
        <w:t>.供应商认为需要提交的其他商务技术材料。</w:t>
      </w:r>
    </w:p>
    <w:p>
      <w:pPr>
        <w:adjustRightInd w:val="0"/>
        <w:snapToGrid w:val="0"/>
        <w:spacing w:line="500" w:lineRule="exact"/>
        <w:rPr>
          <w:rFonts w:ascii="宋体" w:hAnsi="宋体" w:cs="宋体"/>
          <w:b/>
          <w:bCs/>
          <w:kern w:val="0"/>
          <w:sz w:val="24"/>
          <w:lang w:val="zh-CN"/>
        </w:rPr>
      </w:pPr>
      <w:r>
        <w:rPr>
          <w:rFonts w:hint="eastAsia" w:ascii="宋体" w:hAnsi="宋体" w:cs="宋体"/>
          <w:b/>
          <w:bCs/>
          <w:kern w:val="0"/>
          <w:sz w:val="24"/>
          <w:lang w:val="zh-CN"/>
        </w:rPr>
        <w:t>三、价格标</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1.开启一览表（格式见附件</w:t>
      </w:r>
      <w:r>
        <w:rPr>
          <w:rFonts w:hint="eastAsia" w:ascii="宋体" w:hAnsi="宋体" w:cs="宋体"/>
          <w:kern w:val="0"/>
          <w:sz w:val="24"/>
        </w:rPr>
        <w:t>6</w:t>
      </w:r>
      <w:r>
        <w:rPr>
          <w:rFonts w:hint="eastAsia" w:ascii="宋体" w:hAnsi="宋体" w:cs="宋体"/>
          <w:kern w:val="0"/>
          <w:sz w:val="24"/>
          <w:lang w:val="zh-CN"/>
        </w:rPr>
        <w:t>）；</w:t>
      </w:r>
    </w:p>
    <w:p>
      <w:pPr>
        <w:adjustRightInd w:val="0"/>
        <w:snapToGrid w:val="0"/>
        <w:spacing w:line="500" w:lineRule="exact"/>
        <w:rPr>
          <w:rFonts w:ascii="宋体" w:hAnsi="宋体" w:cs="宋体"/>
          <w:kern w:val="0"/>
          <w:sz w:val="24"/>
          <w:lang w:val="zh-CN"/>
        </w:rPr>
      </w:pPr>
      <w:r>
        <w:rPr>
          <w:rFonts w:hint="eastAsia" w:ascii="宋体" w:hAnsi="宋体" w:cs="宋体"/>
          <w:kern w:val="0"/>
          <w:sz w:val="24"/>
          <w:lang w:val="zh-CN"/>
        </w:rPr>
        <w:t>2.</w:t>
      </w:r>
      <w:r>
        <w:rPr>
          <w:rFonts w:hint="eastAsia" w:ascii="宋体" w:hAnsi="宋体" w:cs="宋体"/>
          <w:kern w:val="0"/>
          <w:sz w:val="24"/>
        </w:rPr>
        <w:t>小型、微型企业声明函（格式见附件7）</w:t>
      </w:r>
    </w:p>
    <w:p>
      <w:pPr>
        <w:adjustRightInd w:val="0"/>
        <w:snapToGrid w:val="0"/>
        <w:spacing w:line="500" w:lineRule="exact"/>
        <w:rPr>
          <w:rFonts w:ascii="宋体" w:hAnsi="宋体" w:cs="宋体"/>
          <w:kern w:val="0"/>
          <w:sz w:val="24"/>
        </w:rPr>
      </w:pPr>
      <w:r>
        <w:rPr>
          <w:rFonts w:hint="eastAsia" w:ascii="宋体" w:hAnsi="宋体" w:cs="宋体"/>
          <w:kern w:val="0"/>
          <w:sz w:val="24"/>
        </w:rPr>
        <w:t>3</w:t>
      </w:r>
      <w:r>
        <w:rPr>
          <w:rFonts w:hint="eastAsia" w:ascii="宋体" w:hAnsi="宋体" w:cs="宋体"/>
          <w:kern w:val="0"/>
          <w:sz w:val="24"/>
          <w:lang w:val="zh-CN"/>
        </w:rPr>
        <w:t>.</w:t>
      </w:r>
      <w:r>
        <w:rPr>
          <w:rFonts w:hint="eastAsia" w:ascii="宋体" w:hAnsi="宋体" w:cs="宋体"/>
          <w:kern w:val="0"/>
          <w:sz w:val="24"/>
        </w:rPr>
        <w:t>残疾人福利性单位声明函（格式见附件8）</w:t>
      </w:r>
    </w:p>
    <w:p>
      <w:pPr>
        <w:adjustRightInd w:val="0"/>
        <w:snapToGrid w:val="0"/>
        <w:spacing w:line="500" w:lineRule="exact"/>
        <w:rPr>
          <w:rFonts w:ascii="宋体" w:hAnsi="宋体" w:cs="宋体"/>
          <w:kern w:val="0"/>
          <w:sz w:val="24"/>
          <w:lang w:val="zh-CN"/>
        </w:rPr>
      </w:pPr>
      <w:r>
        <w:rPr>
          <w:rFonts w:hint="eastAsia" w:ascii="宋体" w:hAnsi="宋体" w:cs="宋体"/>
          <w:kern w:val="0"/>
          <w:sz w:val="24"/>
        </w:rPr>
        <w:t>4.</w:t>
      </w:r>
      <w:r>
        <w:rPr>
          <w:rFonts w:hint="eastAsia" w:ascii="宋体" w:hAnsi="宋体" w:cs="宋体"/>
          <w:bCs/>
          <w:kern w:val="0"/>
          <w:sz w:val="24"/>
        </w:rPr>
        <w:t>监狱和戒毒企业证明材料（格式见附件9）</w:t>
      </w:r>
    </w:p>
    <w:p>
      <w:pPr>
        <w:pStyle w:val="3"/>
        <w:rPr>
          <w:rFonts w:ascii="宋体" w:hAnsi="宋体" w:cs="宋体"/>
          <w:kern w:val="0"/>
          <w:sz w:val="28"/>
          <w:szCs w:val="28"/>
          <w:lang w:val="zh-CN"/>
        </w:rPr>
      </w:pPr>
    </w:p>
    <w:p>
      <w:pPr>
        <w:rPr>
          <w:rFonts w:ascii="宋体" w:hAnsi="宋体" w:cs="宋体"/>
          <w:b/>
          <w:kern w:val="0"/>
          <w:sz w:val="28"/>
          <w:szCs w:val="28"/>
          <w:lang w:val="zh-CN"/>
        </w:rPr>
      </w:pPr>
    </w:p>
    <w:p>
      <w:pPr>
        <w:rPr>
          <w:rFonts w:ascii="宋体" w:hAnsi="宋体" w:cs="宋体"/>
          <w:kern w:val="0"/>
          <w:sz w:val="32"/>
          <w:szCs w:val="32"/>
          <w:lang w:val="zh-CN"/>
        </w:rPr>
      </w:pPr>
      <w:r>
        <w:rPr>
          <w:rFonts w:hint="eastAsia" w:ascii="宋体" w:hAnsi="宋体" w:cs="宋体"/>
          <w:kern w:val="0"/>
          <w:sz w:val="32"/>
          <w:szCs w:val="32"/>
          <w:lang w:val="zh-CN"/>
        </w:rPr>
        <w:br w:type="page"/>
      </w:r>
    </w:p>
    <w:p>
      <w:pPr>
        <w:snapToGrid w:val="0"/>
        <w:spacing w:line="400" w:lineRule="exact"/>
        <w:contextualSpacing/>
        <w:rPr>
          <w:rFonts w:ascii="宋体" w:hAnsi="宋体" w:cs="宋体"/>
          <w:kern w:val="0"/>
          <w:sz w:val="32"/>
          <w:szCs w:val="32"/>
          <w:lang w:val="zh-CN"/>
        </w:rPr>
      </w:pPr>
      <w:r>
        <w:rPr>
          <w:rFonts w:hint="eastAsia" w:ascii="宋体" w:hAnsi="宋体" w:cs="宋体"/>
          <w:kern w:val="0"/>
          <w:sz w:val="32"/>
          <w:szCs w:val="32"/>
          <w:lang w:val="zh-CN"/>
        </w:rPr>
        <w:t>附件1</w:t>
      </w:r>
    </w:p>
    <w:p>
      <w:pPr>
        <w:jc w:val="center"/>
        <w:rPr>
          <w:rFonts w:ascii="宋体" w:hAnsi="宋体" w:cs="宋体"/>
          <w:b/>
          <w:color w:val="000000"/>
          <w:sz w:val="30"/>
          <w:szCs w:val="30"/>
        </w:rPr>
      </w:pPr>
      <w:r>
        <w:rPr>
          <w:rFonts w:hint="eastAsia" w:ascii="宋体" w:hAnsi="宋体" w:cs="宋体"/>
          <w:b/>
          <w:color w:val="000000"/>
          <w:sz w:val="30"/>
          <w:szCs w:val="30"/>
        </w:rPr>
        <w:t>供应商符合《政府采购法》第二十二条规定条件的声明函</w:t>
      </w:r>
    </w:p>
    <w:p>
      <w:pPr>
        <w:spacing w:line="460" w:lineRule="exact"/>
        <w:rPr>
          <w:rFonts w:ascii="宋体" w:hAnsi="宋体" w:cs="宋体"/>
          <w:b/>
          <w:bCs/>
          <w:color w:val="000000"/>
          <w:sz w:val="44"/>
          <w:szCs w:val="44"/>
        </w:rPr>
      </w:pPr>
      <w:r>
        <w:rPr>
          <w:rFonts w:hint="eastAsia" w:ascii="宋体" w:hAnsi="宋体" w:cs="宋体"/>
          <w:b/>
          <w:bCs/>
          <w:color w:val="000000"/>
          <w:sz w:val="24"/>
          <w:szCs w:val="21"/>
        </w:rPr>
        <w:t xml:space="preserve">                       </w:t>
      </w:r>
      <w:r>
        <w:rPr>
          <w:rFonts w:hint="eastAsia" w:ascii="宋体" w:hAnsi="宋体" w:cs="宋体"/>
          <w:b/>
          <w:bCs/>
          <w:color w:val="000000"/>
          <w:sz w:val="44"/>
          <w:szCs w:val="44"/>
        </w:rPr>
        <w:t xml:space="preserve">   </w:t>
      </w:r>
    </w:p>
    <w:p>
      <w:pPr>
        <w:spacing w:line="520" w:lineRule="exact"/>
        <w:ind w:firstLine="480" w:firstLineChars="200"/>
        <w:rPr>
          <w:rFonts w:ascii="宋体" w:hAnsi="宋体" w:cs="宋体"/>
          <w:b/>
          <w:bCs/>
          <w:color w:val="000000"/>
          <w:sz w:val="24"/>
        </w:rPr>
      </w:pPr>
      <w:r>
        <w:rPr>
          <w:rFonts w:hint="eastAsia" w:ascii="宋体" w:hAnsi="宋体" w:cs="宋体"/>
          <w:bCs/>
          <w:color w:val="000000"/>
          <w:sz w:val="24"/>
        </w:rPr>
        <w:t>我单位参加</w:t>
      </w:r>
      <w:r>
        <w:rPr>
          <w:rFonts w:hint="eastAsia" w:ascii="宋体" w:hAnsi="宋体" w:cs="宋体"/>
          <w:bCs/>
          <w:color w:val="000000"/>
          <w:sz w:val="24"/>
          <w:u w:val="single"/>
        </w:rPr>
        <w:t xml:space="preserve">           </w:t>
      </w:r>
      <w:r>
        <w:rPr>
          <w:rFonts w:hint="eastAsia" w:ascii="宋体" w:hAnsi="宋体" w:cs="宋体"/>
          <w:bCs/>
          <w:color w:val="000000"/>
          <w:sz w:val="24"/>
          <w:szCs w:val="21"/>
        </w:rPr>
        <w:t>（项目名称），</w:t>
      </w:r>
      <w:r>
        <w:rPr>
          <w:rFonts w:hint="eastAsia" w:ascii="宋体" w:hAnsi="宋体" w:cs="宋体"/>
          <w:bCs/>
          <w:color w:val="000000"/>
          <w:sz w:val="24"/>
          <w:szCs w:val="21"/>
          <w:u w:val="single"/>
        </w:rPr>
        <w:t xml:space="preserve">            </w:t>
      </w:r>
      <w:r>
        <w:rPr>
          <w:rFonts w:hint="eastAsia" w:ascii="宋体" w:hAnsi="宋体" w:cs="宋体"/>
          <w:bCs/>
          <w:color w:val="000000"/>
          <w:sz w:val="24"/>
          <w:szCs w:val="21"/>
        </w:rPr>
        <w:t>（项目编号）响应活动。针对《中华人民共和国政府采购法》第二十二条规定做出如下声明：</w:t>
      </w:r>
    </w:p>
    <w:p>
      <w:pPr>
        <w:spacing w:line="520" w:lineRule="exact"/>
        <w:ind w:firstLine="482"/>
        <w:rPr>
          <w:rFonts w:ascii="宋体" w:hAnsi="宋体" w:cs="宋体"/>
          <w:color w:val="000000"/>
          <w:sz w:val="24"/>
        </w:rPr>
      </w:pPr>
      <w:r>
        <w:rPr>
          <w:rFonts w:hint="eastAsia" w:ascii="宋体" w:hAnsi="宋体" w:cs="宋体"/>
          <w:bCs/>
          <w:color w:val="000000"/>
          <w:sz w:val="24"/>
          <w:szCs w:val="21"/>
        </w:rPr>
        <w:t>1.我单位具有独立承担民事责任的能力；</w:t>
      </w:r>
    </w:p>
    <w:p>
      <w:pPr>
        <w:spacing w:line="520" w:lineRule="exact"/>
        <w:ind w:firstLine="482"/>
        <w:rPr>
          <w:rFonts w:ascii="宋体" w:hAnsi="宋体" w:cs="宋体"/>
          <w:color w:val="000000"/>
          <w:sz w:val="24"/>
        </w:rPr>
      </w:pPr>
      <w:r>
        <w:rPr>
          <w:rFonts w:hint="eastAsia" w:ascii="宋体" w:hAnsi="宋体" w:cs="宋体"/>
          <w:color w:val="000000"/>
          <w:sz w:val="24"/>
        </w:rPr>
        <w:t>2.我单位具有良好的商业信誉和健全的财务会计制度；</w:t>
      </w:r>
    </w:p>
    <w:p>
      <w:pPr>
        <w:spacing w:line="520" w:lineRule="exact"/>
        <w:ind w:firstLine="482"/>
        <w:rPr>
          <w:rFonts w:ascii="宋体" w:hAnsi="宋体" w:cs="宋体"/>
          <w:color w:val="000000"/>
          <w:sz w:val="24"/>
        </w:rPr>
      </w:pPr>
      <w:r>
        <w:rPr>
          <w:rFonts w:hint="eastAsia" w:ascii="宋体" w:hAnsi="宋体" w:cs="宋体"/>
          <w:color w:val="000000"/>
          <w:sz w:val="24"/>
        </w:rPr>
        <w:t>3.我单位具有履行合同所必需的设备和专业技术能力；</w:t>
      </w:r>
    </w:p>
    <w:p>
      <w:pPr>
        <w:spacing w:line="520" w:lineRule="exact"/>
        <w:ind w:firstLine="482"/>
        <w:rPr>
          <w:rFonts w:ascii="宋体" w:hAnsi="宋体" w:cs="宋体"/>
          <w:color w:val="000000"/>
          <w:sz w:val="24"/>
        </w:rPr>
      </w:pPr>
      <w:r>
        <w:rPr>
          <w:rFonts w:hint="eastAsia" w:ascii="宋体" w:hAnsi="宋体" w:cs="宋体"/>
          <w:color w:val="000000"/>
          <w:sz w:val="24"/>
        </w:rPr>
        <w:t>4.我单位有依法缴纳税收和社会保障资金的良好记录；</w:t>
      </w:r>
    </w:p>
    <w:p>
      <w:pPr>
        <w:spacing w:line="520" w:lineRule="exact"/>
        <w:ind w:firstLine="482"/>
        <w:rPr>
          <w:rFonts w:ascii="宋体" w:hAnsi="宋体" w:cs="宋体"/>
          <w:color w:val="000000"/>
          <w:sz w:val="24"/>
        </w:rPr>
      </w:pPr>
      <w:r>
        <w:rPr>
          <w:rFonts w:hint="eastAsia" w:ascii="宋体" w:hAnsi="宋体" w:cs="宋体"/>
          <w:color w:val="000000"/>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s="宋体"/>
          <w:color w:val="000000"/>
          <w:sz w:val="24"/>
        </w:rPr>
      </w:pPr>
      <w:r>
        <w:rPr>
          <w:rFonts w:hint="eastAsia" w:ascii="宋体" w:hAnsi="宋体" w:cs="宋体"/>
          <w:color w:val="000000"/>
          <w:sz w:val="24"/>
        </w:rPr>
        <w:t>6.我单位满足法律、行政法规规定的其他条件。</w:t>
      </w:r>
    </w:p>
    <w:p>
      <w:pPr>
        <w:spacing w:line="500" w:lineRule="exact"/>
        <w:rPr>
          <w:rFonts w:ascii="宋体" w:hAnsi="宋体" w:cs="宋体"/>
          <w:color w:val="000000"/>
          <w:sz w:val="24"/>
        </w:rPr>
      </w:pPr>
    </w:p>
    <w:p>
      <w:pPr>
        <w:spacing w:line="500" w:lineRule="exact"/>
        <w:rPr>
          <w:rFonts w:ascii="宋体" w:hAnsi="宋体" w:cs="宋体"/>
          <w:color w:val="000000"/>
          <w:sz w:val="24"/>
        </w:rPr>
      </w:pPr>
    </w:p>
    <w:p>
      <w:pPr>
        <w:spacing w:line="500" w:lineRule="exact"/>
        <w:rPr>
          <w:rFonts w:ascii="宋体" w:hAnsi="宋体" w:cs="宋体"/>
          <w:bCs/>
          <w:color w:val="000000"/>
          <w:sz w:val="24"/>
          <w:szCs w:val="21"/>
        </w:rPr>
      </w:pPr>
    </w:p>
    <w:p>
      <w:pPr>
        <w:spacing w:line="460" w:lineRule="exact"/>
        <w:jc w:val="center"/>
        <w:rPr>
          <w:rFonts w:ascii="宋体" w:hAnsi="宋体" w:cs="宋体"/>
          <w:bCs/>
          <w:color w:val="000000"/>
          <w:sz w:val="24"/>
          <w:szCs w:val="21"/>
        </w:rPr>
      </w:pPr>
      <w:r>
        <w:rPr>
          <w:rFonts w:hint="eastAsia" w:ascii="宋体" w:hAnsi="宋体" w:cs="宋体"/>
          <w:bCs/>
          <w:color w:val="000000"/>
          <w:sz w:val="24"/>
          <w:szCs w:val="21"/>
        </w:rPr>
        <w:t xml:space="preserve">                                             承诺人名称（公章）：</w:t>
      </w:r>
    </w:p>
    <w:p>
      <w:pPr>
        <w:spacing w:line="460" w:lineRule="exact"/>
        <w:jc w:val="right"/>
        <w:rPr>
          <w:rFonts w:ascii="宋体" w:hAnsi="宋体" w:cs="宋体"/>
          <w:bCs/>
          <w:color w:val="000000"/>
          <w:sz w:val="24"/>
          <w:szCs w:val="21"/>
        </w:rPr>
      </w:pPr>
      <w:r>
        <w:rPr>
          <w:rFonts w:hint="eastAsia" w:ascii="宋体" w:hAnsi="宋体" w:cs="宋体"/>
          <w:bCs/>
          <w:color w:val="000000"/>
          <w:sz w:val="24"/>
          <w:szCs w:val="21"/>
        </w:rPr>
        <w:t xml:space="preserve">    </w:t>
      </w:r>
    </w:p>
    <w:p>
      <w:pPr>
        <w:spacing w:line="460" w:lineRule="exact"/>
        <w:jc w:val="right"/>
        <w:rPr>
          <w:rFonts w:ascii="宋体" w:hAnsi="宋体" w:cs="宋体"/>
          <w:bCs/>
          <w:color w:val="000000"/>
          <w:sz w:val="24"/>
          <w:szCs w:val="21"/>
        </w:rPr>
      </w:pPr>
      <w:r>
        <w:rPr>
          <w:rFonts w:hint="eastAsia" w:ascii="宋体" w:hAnsi="宋体" w:cs="宋体"/>
          <w:bCs/>
          <w:color w:val="000000"/>
          <w:sz w:val="24"/>
          <w:szCs w:val="21"/>
        </w:rPr>
        <w:t xml:space="preserve">                                 日期：</w:t>
      </w:r>
      <w:r>
        <w:rPr>
          <w:rFonts w:hint="eastAsia" w:ascii="宋体" w:hAnsi="宋体" w:cs="宋体"/>
          <w:bCs/>
          <w:color w:val="000000"/>
          <w:sz w:val="24"/>
          <w:szCs w:val="21"/>
          <w:u w:val="single"/>
        </w:rPr>
        <w:t xml:space="preserve">     </w:t>
      </w:r>
      <w:r>
        <w:rPr>
          <w:rFonts w:hint="eastAsia" w:ascii="宋体" w:hAnsi="宋体" w:cs="宋体"/>
          <w:bCs/>
          <w:color w:val="000000"/>
          <w:sz w:val="24"/>
          <w:szCs w:val="21"/>
        </w:rPr>
        <w:t>年</w:t>
      </w:r>
      <w:r>
        <w:rPr>
          <w:rFonts w:hint="eastAsia" w:ascii="宋体" w:hAnsi="宋体" w:cs="宋体"/>
          <w:bCs/>
          <w:color w:val="000000"/>
          <w:sz w:val="24"/>
          <w:szCs w:val="21"/>
          <w:u w:val="single"/>
        </w:rPr>
        <w:t xml:space="preserve">    </w:t>
      </w:r>
      <w:r>
        <w:rPr>
          <w:rFonts w:hint="eastAsia" w:ascii="宋体" w:hAnsi="宋体" w:cs="宋体"/>
          <w:bCs/>
          <w:color w:val="000000"/>
          <w:sz w:val="24"/>
          <w:szCs w:val="21"/>
        </w:rPr>
        <w:t>月</w:t>
      </w:r>
      <w:r>
        <w:rPr>
          <w:rFonts w:hint="eastAsia" w:ascii="宋体" w:hAnsi="宋体" w:cs="宋体"/>
          <w:bCs/>
          <w:color w:val="000000"/>
          <w:sz w:val="24"/>
          <w:szCs w:val="21"/>
          <w:u w:val="single"/>
        </w:rPr>
        <w:t xml:space="preserve">    </w:t>
      </w:r>
      <w:r>
        <w:rPr>
          <w:rFonts w:hint="eastAsia" w:ascii="宋体" w:hAnsi="宋体" w:cs="宋体"/>
          <w:bCs/>
          <w:color w:val="000000"/>
          <w:sz w:val="24"/>
          <w:szCs w:val="21"/>
        </w:rPr>
        <w:t>日</w:t>
      </w:r>
    </w:p>
    <w:p>
      <w:pPr>
        <w:rPr>
          <w:rFonts w:ascii="宋体" w:hAnsi="宋体" w:cs="宋体"/>
          <w:szCs w:val="21"/>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rPr>
          <w:rFonts w:ascii="宋体" w:hAnsi="宋体" w:cs="宋体"/>
          <w:kern w:val="0"/>
          <w:sz w:val="32"/>
          <w:szCs w:val="32"/>
          <w:lang w:val="zh-CN"/>
        </w:rPr>
      </w:pPr>
      <w:r>
        <w:rPr>
          <w:rFonts w:hint="eastAsia" w:ascii="宋体" w:hAnsi="宋体" w:cs="宋体"/>
          <w:kern w:val="0"/>
          <w:sz w:val="32"/>
          <w:szCs w:val="32"/>
          <w:lang w:val="zh-CN"/>
        </w:rPr>
        <w:br w:type="page"/>
      </w:r>
    </w:p>
    <w:p>
      <w:pPr>
        <w:snapToGrid w:val="0"/>
        <w:spacing w:line="400" w:lineRule="exact"/>
        <w:contextualSpacing/>
        <w:rPr>
          <w:rFonts w:ascii="宋体" w:hAnsi="宋体" w:cs="宋体"/>
          <w:kern w:val="0"/>
          <w:sz w:val="32"/>
          <w:szCs w:val="32"/>
          <w:lang w:val="zh-CN"/>
        </w:rPr>
      </w:pPr>
      <w:r>
        <w:rPr>
          <w:rFonts w:hint="eastAsia" w:ascii="宋体" w:hAnsi="宋体" w:cs="宋体"/>
          <w:kern w:val="0"/>
          <w:sz w:val="32"/>
          <w:szCs w:val="32"/>
          <w:lang w:val="zh-CN"/>
        </w:rPr>
        <w:t>附件2</w:t>
      </w:r>
    </w:p>
    <w:p>
      <w:pPr>
        <w:pStyle w:val="25"/>
        <w:spacing w:line="560" w:lineRule="exact"/>
        <w:jc w:val="center"/>
        <w:rPr>
          <w:rFonts w:ascii="宋体" w:hAnsi="宋体" w:cs="宋体"/>
          <w:b/>
          <w:bCs/>
          <w:sz w:val="32"/>
          <w:szCs w:val="32"/>
        </w:rPr>
      </w:pPr>
      <w:r>
        <w:rPr>
          <w:rFonts w:hint="eastAsia" w:ascii="宋体" w:hAnsi="宋体" w:cs="宋体"/>
          <w:b/>
          <w:bCs/>
          <w:sz w:val="32"/>
          <w:szCs w:val="32"/>
        </w:rPr>
        <w:t>法定代表人身份证明</w:t>
      </w:r>
    </w:p>
    <w:p>
      <w:pPr>
        <w:spacing w:line="480" w:lineRule="exact"/>
        <w:rPr>
          <w:rFonts w:ascii="宋体" w:hAnsi="宋体" w:cs="宋体"/>
          <w:sz w:val="24"/>
        </w:rPr>
      </w:pPr>
    </w:p>
    <w:p>
      <w:pPr>
        <w:spacing w:line="48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先生/女士： 现任我单位</w:t>
      </w:r>
      <w:r>
        <w:rPr>
          <w:rFonts w:hint="eastAsia" w:ascii="宋体" w:hAnsi="宋体" w:cs="宋体"/>
          <w:sz w:val="24"/>
          <w:u w:val="single"/>
        </w:rPr>
        <w:t xml:space="preserve">        </w:t>
      </w:r>
      <w:r>
        <w:rPr>
          <w:rFonts w:hint="eastAsia" w:ascii="宋体" w:hAnsi="宋体" w:cs="宋体"/>
          <w:sz w:val="24"/>
        </w:rPr>
        <w:t>职务，为法定代表人，特此证明。</w:t>
      </w:r>
    </w:p>
    <w:p>
      <w:pPr>
        <w:spacing w:line="480" w:lineRule="exact"/>
        <w:ind w:firstLine="480"/>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480" w:lineRule="exact"/>
        <w:ind w:firstLine="480"/>
        <w:rPr>
          <w:rFonts w:ascii="宋体" w:hAnsi="宋体" w:cs="宋体"/>
          <w:sz w:val="24"/>
        </w:rPr>
      </w:pPr>
    </w:p>
    <w:p>
      <w:pPr>
        <w:spacing w:line="480" w:lineRule="exact"/>
        <w:ind w:firstLine="480" w:firstLineChars="200"/>
        <w:rPr>
          <w:rFonts w:ascii="宋体" w:hAnsi="宋体" w:cs="宋体"/>
          <w:sz w:val="24"/>
          <w:u w:val="single"/>
        </w:rPr>
      </w:pPr>
      <w:r>
        <w:rPr>
          <w:rFonts w:hint="eastAsia" w:ascii="宋体" w:hAnsi="宋体" w:cs="宋体"/>
          <w:sz w:val="24"/>
          <w:u w:val="single"/>
        </w:rPr>
        <w:t>供应商（公章）：</w:t>
      </w:r>
    </w:p>
    <w:p>
      <w:pPr>
        <w:spacing w:line="480" w:lineRule="exact"/>
        <w:ind w:firstLine="480" w:firstLineChars="200"/>
        <w:rPr>
          <w:rFonts w:ascii="宋体" w:hAnsi="宋体" w:cs="宋体"/>
          <w:sz w:val="24"/>
          <w:u w:val="single"/>
        </w:rPr>
      </w:pPr>
      <w:r>
        <w:rPr>
          <w:rFonts w:hint="eastAsia" w:ascii="宋体" w:hAnsi="宋体" w:cs="宋体"/>
          <w:sz w:val="24"/>
          <w:u w:val="single"/>
        </w:rPr>
        <w:t>日期：</w:t>
      </w:r>
    </w:p>
    <w:p>
      <w:pPr>
        <w:rPr>
          <w:rFonts w:ascii="宋体" w:hAnsi="宋体" w:cs="宋体"/>
          <w:sz w:val="24"/>
        </w:rPr>
      </w:pPr>
    </w:p>
    <w:p>
      <w:pPr>
        <w:pStyle w:val="2"/>
      </w:pPr>
    </w:p>
    <w:p>
      <w:pPr>
        <w:pStyle w:val="26"/>
        <w:spacing w:line="600" w:lineRule="exact"/>
        <w:rPr>
          <w:rFonts w:ascii="宋体" w:hAnsi="宋体" w:cs="宋体"/>
          <w:b/>
          <w:sz w:val="24"/>
        </w:rPr>
      </w:pPr>
      <w:r>
        <w:rPr>
          <w:rFonts w:hint="eastAsia" w:ascii="宋体" w:hAnsi="宋体" w:cs="宋体"/>
          <w:b/>
          <w:sz w:val="24"/>
        </w:rPr>
        <w:t>注：提供法定代表人的身份证正反面复印件盖公章</w:t>
      </w:r>
    </w:p>
    <w:p>
      <w:pPr>
        <w:spacing w:line="480" w:lineRule="exact"/>
        <w:ind w:firstLine="480" w:firstLineChars="200"/>
        <w:rPr>
          <w:rFonts w:ascii="宋体" w:hAnsi="宋体" w:cs="宋体"/>
          <w:color w:val="FF0000"/>
          <w:sz w:val="24"/>
          <w:highlight w:val="yellow"/>
        </w:rPr>
      </w:pPr>
    </w:p>
    <w:p>
      <w:pPr>
        <w:rPr>
          <w:rFonts w:ascii="宋体" w:hAnsi="宋体" w:cs="宋体"/>
        </w:rPr>
      </w:pPr>
      <w:r>
        <w:rPr>
          <w:rFonts w:hint="eastAsia" w:ascii="宋体" w:hAnsi="宋体" w:cs="宋体"/>
        </w:rPr>
        <w:t xml:space="preserve">     </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ascii="宋体" w:hAnsi="宋体" w:cs="宋体"/>
          <w:kern w:val="0"/>
          <w:sz w:val="32"/>
          <w:szCs w:val="32"/>
          <w:lang w:val="zh-CN"/>
        </w:rPr>
      </w:pPr>
      <w:r>
        <w:rPr>
          <w:rFonts w:hint="eastAsia" w:ascii="宋体" w:hAnsi="宋体" w:cs="宋体"/>
          <w:kern w:val="0"/>
          <w:sz w:val="32"/>
          <w:szCs w:val="32"/>
          <w:lang w:val="zh-CN"/>
        </w:rPr>
        <w:t>附件3</w:t>
      </w:r>
    </w:p>
    <w:p>
      <w:pPr>
        <w:jc w:val="center"/>
        <w:rPr>
          <w:rFonts w:ascii="宋体" w:hAnsi="宋体" w:cs="宋体"/>
          <w:b/>
          <w:bCs/>
          <w:sz w:val="32"/>
          <w:szCs w:val="32"/>
        </w:rPr>
      </w:pPr>
      <w:r>
        <w:rPr>
          <w:rFonts w:hint="eastAsia" w:ascii="宋体" w:hAnsi="宋体" w:cs="宋体"/>
          <w:b/>
          <w:bCs/>
          <w:sz w:val="32"/>
          <w:szCs w:val="32"/>
        </w:rPr>
        <w:t>法定代表人授权委托书</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本人------（姓名）系————（授权单位名称）的法定代表人，现委托-------（姓名）（身份证号——————）为我方代理人，以我方名义全权处理与本次采购项目（编号：----------）有关的一切事务，其法律后果由我方承担。</w:t>
      </w:r>
    </w:p>
    <w:p>
      <w:pPr>
        <w:ind w:firstLine="480" w:firstLineChars="200"/>
        <w:rPr>
          <w:rFonts w:ascii="宋体" w:hAnsi="宋体" w:cs="宋体"/>
          <w:sz w:val="24"/>
        </w:rPr>
      </w:pPr>
      <w:r>
        <w:rPr>
          <w:rFonts w:hint="eastAsia" w:ascii="宋体" w:hAnsi="宋体" w:cs="宋体"/>
          <w:sz w:val="24"/>
        </w:rPr>
        <w:t>本授权书于---年---月---日起生效。代理人无转委托权。</w:t>
      </w:r>
    </w:p>
    <w:p>
      <w:pPr>
        <w:ind w:firstLine="360" w:firstLineChars="150"/>
        <w:rPr>
          <w:rFonts w:ascii="宋体" w:hAnsi="宋体" w:cs="宋体"/>
          <w:sz w:val="24"/>
        </w:rPr>
      </w:pPr>
      <w:r>
        <w:rPr>
          <w:rFonts w:hint="eastAsia" w:ascii="宋体" w:hAnsi="宋体" w:cs="宋体"/>
          <w:sz w:val="24"/>
        </w:rPr>
        <w:t>代理人(被授权人):------</w:t>
      </w:r>
    </w:p>
    <w:p>
      <w:pPr>
        <w:ind w:firstLine="360" w:firstLineChars="150"/>
        <w:rPr>
          <w:rFonts w:ascii="宋体" w:hAnsi="宋体" w:cs="宋体"/>
          <w:sz w:val="24"/>
        </w:rPr>
      </w:pPr>
      <w:r>
        <w:rPr>
          <w:rFonts w:hint="eastAsia" w:ascii="宋体" w:hAnsi="宋体" w:cs="宋体"/>
          <w:sz w:val="24"/>
        </w:rPr>
        <w:t>授权单位名称（盖章）：-----</w:t>
      </w:r>
    </w:p>
    <w:p>
      <w:pPr>
        <w:ind w:firstLine="360" w:firstLineChars="150"/>
        <w:rPr>
          <w:rFonts w:ascii="宋体" w:hAnsi="宋体" w:cs="宋体"/>
          <w:sz w:val="24"/>
        </w:rPr>
      </w:pPr>
      <w:r>
        <w:rPr>
          <w:rFonts w:hint="eastAsia" w:ascii="宋体" w:hAnsi="宋体" w:cs="宋体"/>
          <w:sz w:val="24"/>
        </w:rPr>
        <w:t>授权单位法定代表人（签字或盖章）：-----</w:t>
      </w:r>
    </w:p>
    <w:p>
      <w:pPr>
        <w:jc w:val="right"/>
        <w:rPr>
          <w:rFonts w:ascii="宋体" w:hAnsi="宋体" w:cs="宋体"/>
          <w:sz w:val="24"/>
        </w:rPr>
      </w:pPr>
    </w:p>
    <w:p>
      <w:pPr>
        <w:jc w:val="right"/>
        <w:rPr>
          <w:rFonts w:ascii="宋体" w:hAnsi="宋体" w:cs="宋体"/>
          <w:sz w:val="24"/>
        </w:rPr>
      </w:pPr>
      <w:r>
        <w:rPr>
          <w:rFonts w:hint="eastAsia" w:ascii="宋体" w:hAnsi="宋体" w:cs="宋体"/>
          <w:sz w:val="24"/>
        </w:rPr>
        <w:t>XXXX年XX月XX日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r>
        <w:rPr>
          <w:rFonts w:hint="eastAsia" w:ascii="宋体" w:hAnsi="宋体" w:cs="宋体"/>
          <w:b/>
          <w:kern w:val="0"/>
          <w:sz w:val="28"/>
          <w:szCs w:val="28"/>
        </w:rPr>
        <w:t>注：提供响应代表本人身份证复印件盖公章</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widowControl/>
        <w:jc w:val="left"/>
        <w:rPr>
          <w:rFonts w:ascii="宋体" w:hAnsi="宋体" w:cs="宋体"/>
          <w:kern w:val="0"/>
          <w:sz w:val="32"/>
          <w:szCs w:val="32"/>
        </w:rPr>
      </w:pPr>
      <w:r>
        <w:rPr>
          <w:rFonts w:hint="eastAsia" w:ascii="宋体" w:hAnsi="宋体" w:cs="宋体"/>
          <w:kern w:val="0"/>
          <w:sz w:val="32"/>
          <w:szCs w:val="32"/>
        </w:rPr>
        <w:br w:type="page"/>
      </w:r>
    </w:p>
    <w:p>
      <w:pPr>
        <w:snapToGrid w:val="0"/>
        <w:spacing w:line="400" w:lineRule="exact"/>
        <w:contextualSpacing/>
        <w:rPr>
          <w:rFonts w:ascii="宋体" w:hAnsi="宋体" w:cs="宋体"/>
          <w:kern w:val="0"/>
          <w:sz w:val="32"/>
          <w:szCs w:val="32"/>
        </w:rPr>
      </w:pPr>
      <w:r>
        <w:rPr>
          <w:rFonts w:hint="eastAsia" w:ascii="宋体" w:hAnsi="宋体" w:cs="宋体"/>
          <w:kern w:val="0"/>
          <w:sz w:val="32"/>
          <w:szCs w:val="32"/>
        </w:rPr>
        <w:t>附件4</w:t>
      </w:r>
    </w:p>
    <w:p>
      <w:pPr>
        <w:snapToGrid w:val="0"/>
        <w:spacing w:line="300" w:lineRule="auto"/>
        <w:contextualSpacing/>
        <w:jc w:val="center"/>
        <w:rPr>
          <w:rFonts w:ascii="宋体" w:hAnsi="宋体" w:cs="宋体"/>
          <w:b/>
          <w:sz w:val="32"/>
          <w:szCs w:val="32"/>
        </w:rPr>
      </w:pPr>
      <w:r>
        <w:rPr>
          <w:rFonts w:hint="eastAsia" w:ascii="宋体" w:hAnsi="宋体" w:cs="宋体"/>
          <w:b/>
          <w:sz w:val="32"/>
          <w:szCs w:val="32"/>
        </w:rPr>
        <w:t>商务部分正负偏离表</w:t>
      </w:r>
    </w:p>
    <w:p>
      <w:pPr>
        <w:ind w:firstLine="560" w:firstLineChars="200"/>
        <w:jc w:val="center"/>
        <w:rPr>
          <w:rFonts w:ascii="宋体" w:hAnsi="宋体" w:cs="宋体"/>
          <w:sz w:val="28"/>
          <w:szCs w:val="28"/>
        </w:rPr>
      </w:pPr>
      <w:r>
        <w:rPr>
          <w:rFonts w:hint="eastAsia" w:ascii="宋体" w:hAnsi="宋体" w:cs="宋体"/>
          <w:sz w:val="28"/>
          <w:szCs w:val="28"/>
        </w:rPr>
        <w:t>（由供应商据实填写，表格不够自行添加）</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2139"/>
        <w:gridCol w:w="1868"/>
        <w:gridCol w:w="2410"/>
        <w:gridCol w:w="13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征集文件要求的商务条款</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cs="宋体"/>
                <w:sz w:val="24"/>
              </w:rPr>
            </w:pPr>
          </w:p>
          <w:p>
            <w:pPr>
              <w:spacing w:line="340" w:lineRule="exact"/>
              <w:jc w:val="center"/>
              <w:rPr>
                <w:rFonts w:ascii="宋体" w:hAnsi="宋体" w:cs="宋体"/>
                <w:sz w:val="24"/>
              </w:rPr>
            </w:pPr>
            <w:r>
              <w:rPr>
                <w:rFonts w:hint="eastAsia" w:ascii="宋体" w:hAnsi="宋体" w:cs="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4</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bl>
    <w:p>
      <w:pPr>
        <w:snapToGrid w:val="0"/>
        <w:spacing w:line="300" w:lineRule="auto"/>
        <w:contextualSpacing/>
        <w:rPr>
          <w:rFonts w:ascii="宋体" w:hAnsi="宋体" w:cs="宋体"/>
          <w:b/>
          <w:sz w:val="24"/>
        </w:rPr>
      </w:pPr>
      <w:r>
        <w:rPr>
          <w:rFonts w:hint="eastAsia" w:ascii="宋体" w:hAnsi="宋体" w:cs="宋体"/>
          <w:b/>
          <w:sz w:val="24"/>
        </w:rPr>
        <w:t>注：</w:t>
      </w:r>
    </w:p>
    <w:p>
      <w:pPr>
        <w:snapToGrid w:val="0"/>
        <w:spacing w:line="300" w:lineRule="auto"/>
        <w:ind w:firstLine="480" w:firstLineChars="200"/>
        <w:contextualSpacing/>
        <w:rPr>
          <w:rFonts w:ascii="宋体" w:hAnsi="宋体" w:cs="宋体"/>
          <w:color w:val="000000"/>
          <w:sz w:val="24"/>
          <w:lang w:eastAsia="zh-Hans"/>
        </w:rPr>
      </w:pPr>
      <w:r>
        <w:rPr>
          <w:rFonts w:hint="eastAsia" w:ascii="宋体" w:hAnsi="宋体" w:cs="宋体"/>
          <w:sz w:val="24"/>
        </w:rPr>
        <w:t>1.</w:t>
      </w:r>
      <w:r>
        <w:rPr>
          <w:rFonts w:hint="eastAsia" w:ascii="宋体" w:hAnsi="宋体" w:cs="宋体"/>
          <w:color w:val="000000"/>
          <w:sz w:val="24"/>
        </w:rPr>
        <w:t>供应商提交的响应文件中与征集文件第三部分“项目需求”中的商务部分的要求，应逐条填列在偏离表中。</w:t>
      </w:r>
      <w:r>
        <w:rPr>
          <w:rFonts w:hint="eastAsia" w:ascii="宋体" w:hAnsi="宋体" w:cs="宋体"/>
          <w:color w:val="000000"/>
          <w:sz w:val="24"/>
          <w:lang w:eastAsia="zh-Hans"/>
        </w:rPr>
        <w:t>完全响应可用空表列示。</w:t>
      </w:r>
    </w:p>
    <w:p>
      <w:pPr>
        <w:snapToGrid w:val="0"/>
        <w:spacing w:line="300" w:lineRule="auto"/>
        <w:ind w:firstLine="480" w:firstLineChars="200"/>
        <w:contextualSpacing/>
        <w:rPr>
          <w:rFonts w:ascii="宋体" w:hAnsi="宋体" w:cs="宋体"/>
          <w:sz w:val="24"/>
        </w:rPr>
      </w:pPr>
      <w:r>
        <w:rPr>
          <w:rFonts w:hint="eastAsia" w:ascii="宋体" w:hAnsi="宋体" w:cs="宋体"/>
          <w:color w:val="000000"/>
          <w:sz w:val="24"/>
        </w:rPr>
        <w:t>2.“偏离说明”一栏选择“正偏离”、“无偏离”、“负偏离”进行填写。正偏离、无偏离的确认和负偏离的是否响应征集文件，由评委认定。</w:t>
      </w:r>
    </w:p>
    <w:p>
      <w:pPr>
        <w:snapToGrid w:val="0"/>
        <w:spacing w:line="300" w:lineRule="auto"/>
        <w:ind w:firstLine="480" w:firstLineChars="200"/>
        <w:contextualSpacing/>
        <w:rPr>
          <w:rFonts w:ascii="宋体" w:hAnsi="宋体" w:cs="宋体"/>
          <w:sz w:val="24"/>
        </w:rPr>
      </w:pPr>
      <w:r>
        <w:rPr>
          <w:rFonts w:hint="eastAsia" w:ascii="宋体" w:hAnsi="宋体" w:cs="宋体"/>
          <w:sz w:val="24"/>
        </w:rPr>
        <w:t>3.供应商如果虚假响应，将被暂停参加南通市</w:t>
      </w:r>
      <w:r>
        <w:rPr>
          <w:rFonts w:hint="eastAsia" w:ascii="宋体" w:hAnsi="宋体" w:cs="宋体"/>
          <w:sz w:val="24"/>
          <w:lang w:eastAsia="zh-Hans"/>
        </w:rPr>
        <w:t>财政局</w:t>
      </w:r>
      <w:r>
        <w:rPr>
          <w:rFonts w:hint="eastAsia" w:ascii="宋体" w:hAnsi="宋体" w:cs="宋体"/>
          <w:sz w:val="24"/>
        </w:rPr>
        <w:t>采购活动。</w:t>
      </w:r>
    </w:p>
    <w:p>
      <w:pPr>
        <w:snapToGrid w:val="0"/>
        <w:spacing w:line="300" w:lineRule="auto"/>
        <w:ind w:firstLine="480" w:firstLineChars="200"/>
        <w:contextualSpacing/>
        <w:rPr>
          <w:rFonts w:ascii="宋体" w:hAnsi="宋体" w:cs="宋体"/>
          <w:bCs/>
          <w:sz w:val="24"/>
        </w:rPr>
      </w:pPr>
      <w:r>
        <w:rPr>
          <w:rFonts w:hint="eastAsia" w:ascii="宋体" w:hAnsi="宋体" w:cs="宋体"/>
          <w:bCs/>
          <w:sz w:val="24"/>
        </w:rPr>
        <w:t>4.供应商若提供其他增值服务，可以在表中自行据实填写。</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ascii="宋体" w:hAnsi="宋体" w:cs="宋体"/>
          <w:kern w:val="0"/>
          <w:sz w:val="32"/>
          <w:szCs w:val="32"/>
        </w:rPr>
      </w:pPr>
    </w:p>
    <w:p>
      <w:pPr>
        <w:snapToGrid w:val="0"/>
        <w:spacing w:line="400" w:lineRule="exact"/>
        <w:contextualSpacing/>
        <w:rPr>
          <w:rFonts w:ascii="宋体" w:hAnsi="宋体" w:cs="宋体"/>
          <w:kern w:val="0"/>
          <w:sz w:val="32"/>
          <w:szCs w:val="32"/>
        </w:rPr>
      </w:pPr>
      <w:r>
        <w:rPr>
          <w:rFonts w:hint="eastAsia" w:ascii="宋体" w:hAnsi="宋体" w:cs="宋体"/>
          <w:kern w:val="0"/>
          <w:sz w:val="32"/>
          <w:szCs w:val="32"/>
        </w:rPr>
        <w:t>附件5</w:t>
      </w:r>
    </w:p>
    <w:p>
      <w:pPr>
        <w:snapToGrid w:val="0"/>
        <w:spacing w:line="300" w:lineRule="auto"/>
        <w:contextualSpacing/>
        <w:jc w:val="center"/>
        <w:rPr>
          <w:rFonts w:ascii="宋体" w:hAnsi="宋体" w:cs="宋体"/>
          <w:b/>
          <w:sz w:val="32"/>
          <w:szCs w:val="32"/>
        </w:rPr>
      </w:pPr>
      <w:r>
        <w:rPr>
          <w:rFonts w:hint="eastAsia" w:ascii="宋体" w:hAnsi="宋体" w:cs="宋体"/>
          <w:b/>
          <w:sz w:val="32"/>
          <w:szCs w:val="32"/>
        </w:rPr>
        <w:t>技术部分正负偏离表</w:t>
      </w:r>
    </w:p>
    <w:p>
      <w:pPr>
        <w:ind w:firstLine="560" w:firstLineChars="200"/>
        <w:jc w:val="center"/>
        <w:rPr>
          <w:rFonts w:ascii="宋体" w:hAnsi="宋体" w:cs="宋体"/>
          <w:sz w:val="28"/>
          <w:szCs w:val="28"/>
        </w:rPr>
      </w:pPr>
      <w:r>
        <w:rPr>
          <w:rFonts w:hint="eastAsia" w:ascii="宋体" w:hAnsi="宋体" w:cs="宋体"/>
          <w:sz w:val="28"/>
          <w:szCs w:val="28"/>
        </w:rPr>
        <w:t>（由供应商据实填写，表格不够自行添加）</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4"/>
        <w:gridCol w:w="2139"/>
        <w:gridCol w:w="1868"/>
        <w:gridCol w:w="2410"/>
        <w:gridCol w:w="13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征集文件要求的技术要求</w:t>
            </w:r>
          </w:p>
        </w:tc>
        <w:tc>
          <w:tcPr>
            <w:tcW w:w="141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sz w:val="24"/>
              </w:rPr>
            </w:pPr>
            <w:r>
              <w:rPr>
                <w:rFonts w:hint="eastAsia" w:ascii="宋体" w:hAnsi="宋体" w:cs="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cs="宋体"/>
                <w:sz w:val="24"/>
              </w:rPr>
            </w:pPr>
          </w:p>
          <w:p>
            <w:pPr>
              <w:spacing w:line="340" w:lineRule="exact"/>
              <w:jc w:val="center"/>
              <w:rPr>
                <w:rFonts w:ascii="宋体" w:hAnsi="宋体" w:cs="宋体"/>
                <w:sz w:val="24"/>
              </w:rPr>
            </w:pPr>
            <w:r>
              <w:rPr>
                <w:rFonts w:hint="eastAsia" w:ascii="宋体" w:hAnsi="宋体" w:cs="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sz w:val="24"/>
              </w:rPr>
            </w:pPr>
            <w:r>
              <w:rPr>
                <w:rFonts w:hint="eastAsia" w:ascii="宋体" w:hAnsi="宋体" w:cs="宋体"/>
                <w:sz w:val="24"/>
              </w:rPr>
              <w:t>4</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095"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1413"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sz w:val="24"/>
              </w:rPr>
            </w:pPr>
          </w:p>
        </w:tc>
        <w:tc>
          <w:tcPr>
            <w:tcW w:w="7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sz w:val="24"/>
              </w:rPr>
            </w:pPr>
          </w:p>
        </w:tc>
      </w:tr>
    </w:tbl>
    <w:p>
      <w:pPr>
        <w:snapToGrid w:val="0"/>
        <w:spacing w:line="300" w:lineRule="auto"/>
        <w:contextualSpacing/>
        <w:rPr>
          <w:rFonts w:ascii="宋体" w:hAnsi="宋体" w:cs="宋体"/>
          <w:b/>
          <w:sz w:val="24"/>
        </w:rPr>
      </w:pPr>
      <w:r>
        <w:rPr>
          <w:rFonts w:hint="eastAsia" w:ascii="宋体" w:hAnsi="宋体" w:cs="宋体"/>
          <w:b/>
          <w:sz w:val="24"/>
        </w:rPr>
        <w:t>注：</w:t>
      </w:r>
    </w:p>
    <w:p>
      <w:pPr>
        <w:snapToGrid w:val="0"/>
        <w:spacing w:line="300" w:lineRule="auto"/>
        <w:ind w:firstLine="480" w:firstLineChars="200"/>
        <w:contextualSpacing/>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供应商提交的响应文件中与征集文件第三部分“项目需求”中的技术部分的要求，应逐条填列在偏离表中。</w:t>
      </w:r>
      <w:r>
        <w:rPr>
          <w:rFonts w:hint="eastAsia" w:ascii="宋体" w:hAnsi="宋体" w:cs="宋体"/>
          <w:color w:val="000000"/>
          <w:sz w:val="24"/>
          <w:lang w:eastAsia="zh-Hans"/>
        </w:rPr>
        <w:t>完全响应可用空表列示。</w:t>
      </w:r>
    </w:p>
    <w:p>
      <w:pPr>
        <w:snapToGrid w:val="0"/>
        <w:spacing w:line="300" w:lineRule="auto"/>
        <w:ind w:firstLine="480" w:firstLineChars="200"/>
        <w:contextualSpacing/>
        <w:rPr>
          <w:rFonts w:ascii="宋体" w:hAnsi="宋体" w:cs="宋体"/>
          <w:sz w:val="24"/>
        </w:rPr>
      </w:pPr>
      <w:r>
        <w:rPr>
          <w:rFonts w:hint="eastAsia" w:ascii="宋体" w:hAnsi="宋体" w:cs="宋体"/>
          <w:color w:val="000000"/>
          <w:sz w:val="24"/>
        </w:rPr>
        <w:t>2.</w:t>
      </w:r>
      <w:r>
        <w:rPr>
          <w:rFonts w:hint="eastAsia" w:ascii="宋体" w:hAnsi="宋体" w:cs="宋体"/>
          <w:sz w:val="24"/>
        </w:rPr>
        <w:t>“偏离说明”一栏选择“正偏离”、“无偏离”、“负偏离”进行填写。正偏离、无偏离的确认和</w:t>
      </w:r>
      <w:r>
        <w:rPr>
          <w:rFonts w:hint="eastAsia" w:ascii="宋体" w:hAnsi="宋体" w:cs="宋体"/>
          <w:color w:val="000000"/>
          <w:sz w:val="24"/>
        </w:rPr>
        <w:t>负偏离的是否响应征集文件，由评委认定。</w:t>
      </w:r>
    </w:p>
    <w:p>
      <w:pPr>
        <w:snapToGrid w:val="0"/>
        <w:spacing w:line="300" w:lineRule="auto"/>
        <w:ind w:firstLine="480" w:firstLineChars="200"/>
        <w:contextualSpacing/>
        <w:rPr>
          <w:rFonts w:ascii="宋体" w:hAnsi="宋体" w:cs="宋体"/>
          <w:sz w:val="24"/>
        </w:rPr>
      </w:pPr>
      <w:r>
        <w:rPr>
          <w:rFonts w:hint="eastAsia" w:ascii="宋体" w:hAnsi="宋体" w:cs="宋体"/>
          <w:sz w:val="24"/>
        </w:rPr>
        <w:t>3.供应商如果虚假响应，将被暂停参加南通市</w:t>
      </w:r>
      <w:r>
        <w:rPr>
          <w:rFonts w:hint="eastAsia" w:ascii="宋体" w:hAnsi="宋体" w:cs="宋体"/>
          <w:sz w:val="24"/>
          <w:lang w:eastAsia="zh-Hans"/>
        </w:rPr>
        <w:t>财政局</w:t>
      </w:r>
      <w:r>
        <w:rPr>
          <w:rFonts w:hint="eastAsia" w:ascii="宋体" w:hAnsi="宋体" w:cs="宋体"/>
          <w:sz w:val="24"/>
        </w:rPr>
        <w:t>采购活动。</w:t>
      </w:r>
    </w:p>
    <w:p>
      <w:pPr>
        <w:snapToGrid w:val="0"/>
        <w:spacing w:line="300" w:lineRule="auto"/>
        <w:ind w:firstLine="480" w:firstLineChars="200"/>
        <w:contextualSpacing/>
        <w:rPr>
          <w:rFonts w:ascii="宋体" w:hAnsi="宋体" w:cs="宋体"/>
          <w:bCs/>
          <w:sz w:val="24"/>
        </w:rPr>
      </w:pPr>
      <w:r>
        <w:rPr>
          <w:rFonts w:hint="eastAsia" w:ascii="宋体" w:hAnsi="宋体" w:cs="宋体"/>
          <w:bCs/>
          <w:sz w:val="24"/>
        </w:rPr>
        <w:t>4.供应商若提供其他增值服务，可以在表中自行据实填写。</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ascii="宋体" w:hAnsi="宋体" w:cs="宋体"/>
          <w:kern w:val="0"/>
          <w:sz w:val="32"/>
          <w:szCs w:val="32"/>
        </w:rPr>
        <w:sectPr>
          <w:headerReference r:id="rId4" w:type="default"/>
          <w:footerReference r:id="rId5" w:type="default"/>
          <w:pgSz w:w="11906" w:h="16838"/>
          <w:pgMar w:top="1440" w:right="1797" w:bottom="1440" w:left="1797" w:header="851" w:footer="992" w:gutter="0"/>
          <w:cols w:space="720" w:num="1"/>
          <w:docGrid w:type="lines" w:linePitch="312" w:charSpace="0"/>
        </w:sectPr>
      </w:pPr>
    </w:p>
    <w:p>
      <w:pPr>
        <w:snapToGrid w:val="0"/>
        <w:spacing w:line="400" w:lineRule="exact"/>
        <w:contextualSpacing/>
        <w:rPr>
          <w:rFonts w:ascii="宋体" w:hAnsi="宋体" w:cs="宋体"/>
          <w:kern w:val="0"/>
          <w:sz w:val="32"/>
          <w:szCs w:val="32"/>
        </w:rPr>
      </w:pPr>
      <w:r>
        <w:rPr>
          <w:rFonts w:hint="eastAsia" w:ascii="宋体" w:hAnsi="宋体" w:cs="宋体"/>
          <w:kern w:val="0"/>
          <w:sz w:val="32"/>
          <w:szCs w:val="32"/>
        </w:rPr>
        <w:t>附件6</w:t>
      </w:r>
    </w:p>
    <w:p>
      <w:pPr>
        <w:widowControl/>
        <w:spacing w:before="100" w:beforeAutospacing="1" w:after="100" w:afterAutospacing="1" w:line="500" w:lineRule="atLeast"/>
        <w:jc w:val="center"/>
        <w:rPr>
          <w:rFonts w:ascii="宋体" w:hAnsi="宋体" w:cs="宋体"/>
          <w:kern w:val="0"/>
          <w:sz w:val="32"/>
          <w:szCs w:val="32"/>
        </w:rPr>
      </w:pPr>
      <w:r>
        <w:rPr>
          <w:rFonts w:hint="eastAsia" w:ascii="宋体" w:hAnsi="宋体" w:cs="宋体"/>
          <w:b/>
          <w:bCs/>
          <w:kern w:val="0"/>
          <w:sz w:val="32"/>
          <w:szCs w:val="32"/>
        </w:rPr>
        <w:t>开  标 一 览  表</w:t>
      </w:r>
    </w:p>
    <w:p>
      <w:pPr>
        <w:rPr>
          <w:rFonts w:ascii="宋体" w:hAnsi="宋体" w:cs="宋体"/>
          <w:kern w:val="0"/>
          <w:sz w:val="28"/>
          <w:szCs w:val="28"/>
          <w:u w:val="single"/>
        </w:rPr>
      </w:pPr>
      <w:r>
        <w:rPr>
          <w:rFonts w:hint="eastAsia" w:ascii="宋体" w:hAnsi="宋体" w:cs="宋体"/>
          <w:kern w:val="0"/>
          <w:sz w:val="28"/>
          <w:szCs w:val="28"/>
        </w:rPr>
        <w:t>供应商全称（加盖公章）：</w:t>
      </w:r>
    </w:p>
    <w:p>
      <w:pPr>
        <w:adjustRightInd w:val="0"/>
        <w:snapToGrid w:val="0"/>
        <w:spacing w:line="360" w:lineRule="auto"/>
        <w:rPr>
          <w:rFonts w:ascii="宋体" w:hAnsi="宋体" w:cs="宋体"/>
          <w:sz w:val="24"/>
        </w:rPr>
      </w:pPr>
      <w:r>
        <w:rPr>
          <w:rFonts w:hint="eastAsia" w:ascii="宋体" w:hAnsi="宋体" w:cs="宋体"/>
          <w:kern w:val="0"/>
          <w:sz w:val="28"/>
          <w:szCs w:val="28"/>
        </w:rPr>
        <w:t>项目名称：</w:t>
      </w:r>
    </w:p>
    <w:p>
      <w:pPr>
        <w:rPr>
          <w:rFonts w:ascii="宋体" w:hAnsi="宋体" w:cs="宋体"/>
          <w:kern w:val="0"/>
          <w:sz w:val="28"/>
          <w:szCs w:val="28"/>
        </w:rPr>
      </w:pPr>
      <w:r>
        <w:rPr>
          <w:rFonts w:hint="eastAsia" w:ascii="宋体" w:hAnsi="宋体" w:cs="宋体"/>
          <w:kern w:val="0"/>
          <w:sz w:val="28"/>
          <w:szCs w:val="28"/>
        </w:rPr>
        <w:t>项目编号：</w:t>
      </w:r>
    </w:p>
    <w:p>
      <w:pPr>
        <w:rPr>
          <w:rFonts w:ascii="宋体" w:hAnsi="宋体" w:cs="宋体"/>
          <w:kern w:val="0"/>
          <w:sz w:val="28"/>
          <w:szCs w:val="28"/>
        </w:rPr>
      </w:pPr>
      <w:r>
        <w:rPr>
          <w:rFonts w:hint="eastAsia" w:ascii="宋体" w:hAnsi="宋体" w:cs="宋体"/>
          <w:kern w:val="0"/>
          <w:sz w:val="28"/>
          <w:szCs w:val="28"/>
        </w:rPr>
        <w:t xml:space="preserve">项目标段： </w:t>
      </w:r>
    </w:p>
    <w:tbl>
      <w:tblPr>
        <w:tblStyle w:val="16"/>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4433" w:type="dxa"/>
            <w:vAlign w:val="center"/>
          </w:tcPr>
          <w:p>
            <w:pPr>
              <w:jc w:val="center"/>
              <w:rPr>
                <w:rFonts w:ascii="宋体" w:hAnsi="宋体" w:cs="宋体"/>
                <w:color w:val="000000"/>
                <w:sz w:val="24"/>
              </w:rPr>
            </w:pPr>
            <w:r>
              <w:rPr>
                <w:rFonts w:hint="eastAsia" w:ascii="宋体" w:hAnsi="宋体" w:cs="宋体"/>
                <w:color w:val="000000"/>
                <w:sz w:val="24"/>
              </w:rPr>
              <w:t>项目名称</w:t>
            </w:r>
          </w:p>
        </w:tc>
        <w:tc>
          <w:tcPr>
            <w:tcW w:w="4678" w:type="dxa"/>
            <w:vAlign w:val="center"/>
          </w:tcPr>
          <w:p>
            <w:pPr>
              <w:ind w:firstLine="2160" w:firstLineChars="900"/>
              <w:rPr>
                <w:rFonts w:ascii="宋体" w:hAnsi="宋体" w:cs="宋体"/>
                <w:color w:val="000000"/>
                <w:sz w:val="24"/>
              </w:rPr>
            </w:pPr>
            <w:r>
              <w:rPr>
                <w:rFonts w:hint="eastAsia" w:ascii="宋体" w:hAnsi="宋体" w:cs="宋体"/>
                <w:color w:val="000000"/>
                <w:sz w:val="24"/>
              </w:rPr>
              <w:t>项目报价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4433" w:type="dxa"/>
            <w:vAlign w:val="center"/>
          </w:tcPr>
          <w:p>
            <w:pPr>
              <w:jc w:val="center"/>
              <w:rPr>
                <w:rFonts w:ascii="宋体" w:hAnsi="宋体" w:cs="宋体"/>
                <w:color w:val="000000"/>
                <w:sz w:val="24"/>
              </w:rPr>
            </w:pPr>
          </w:p>
        </w:tc>
        <w:tc>
          <w:tcPr>
            <w:tcW w:w="4678" w:type="dxa"/>
            <w:vAlign w:val="center"/>
          </w:tcPr>
          <w:p>
            <w:pPr>
              <w:jc w:val="center"/>
              <w:rPr>
                <w:rFonts w:ascii="宋体" w:hAnsi="宋体" w:cs="宋体"/>
                <w:b/>
                <w:color w:val="000000" w:themeColor="text1"/>
                <w:szCs w:val="32"/>
                <w14:textFill>
                  <w14:solidFill>
                    <w14:schemeClr w14:val="tx1"/>
                  </w14:solidFill>
                </w14:textFill>
              </w:rPr>
            </w:pPr>
            <w:r>
              <w:rPr>
                <w:rFonts w:hint="eastAsia" w:ascii="宋体" w:hAnsi="宋体" w:cs="宋体"/>
                <w:b/>
                <w:color w:val="000000" w:themeColor="text1"/>
                <w:szCs w:val="32"/>
                <w:u w:val="single"/>
                <w14:textFill>
                  <w14:solidFill>
                    <w14:schemeClr w14:val="tx1"/>
                  </w14:solidFill>
                </w14:textFill>
              </w:rPr>
              <w:t xml:space="preserve">       </w:t>
            </w:r>
            <w:r>
              <w:rPr>
                <w:rFonts w:hint="eastAsia" w:ascii="宋体" w:hAnsi="宋体" w:cs="宋体"/>
                <w:b/>
                <w:color w:val="000000" w:themeColor="text1"/>
                <w:szCs w:val="32"/>
                <w14:textFill>
                  <w14:solidFill>
                    <w14:schemeClr w14:val="tx1"/>
                  </w14:solidFill>
                </w14:textFill>
              </w:rPr>
              <w:t>%</w:t>
            </w:r>
          </w:p>
        </w:tc>
      </w:tr>
    </w:tbl>
    <w:p>
      <w:pPr>
        <w:ind w:firstLine="5880" w:firstLineChars="2100"/>
        <w:rPr>
          <w:rFonts w:ascii="宋体" w:hAnsi="宋体" w:cs="宋体"/>
          <w:kern w:val="0"/>
          <w:sz w:val="28"/>
          <w:szCs w:val="28"/>
        </w:rPr>
      </w:pPr>
      <w:r>
        <w:rPr>
          <w:rFonts w:hint="eastAsia" w:ascii="宋体" w:hAnsi="宋体" w:cs="宋体"/>
          <w:kern w:val="0"/>
          <w:sz w:val="28"/>
          <w:szCs w:val="28"/>
        </w:rPr>
        <w:t>日期：</w:t>
      </w:r>
    </w:p>
    <w:p>
      <w:pPr>
        <w:rPr>
          <w:rFonts w:ascii="宋体" w:hAnsi="宋体" w:cs="宋体"/>
          <w:kern w:val="0"/>
          <w:sz w:val="28"/>
          <w:szCs w:val="28"/>
        </w:rPr>
      </w:pPr>
      <w:r>
        <w:rPr>
          <w:rFonts w:hint="eastAsia" w:ascii="宋体" w:hAnsi="宋体" w:cs="宋体"/>
          <w:kern w:val="0"/>
          <w:sz w:val="28"/>
          <w:szCs w:val="28"/>
        </w:rPr>
        <w:t>填写说明：</w:t>
      </w:r>
    </w:p>
    <w:p>
      <w:pPr>
        <w:rPr>
          <w:rFonts w:ascii="宋体" w:hAnsi="宋体" w:cs="宋体"/>
          <w:kern w:val="0"/>
          <w:sz w:val="28"/>
          <w:szCs w:val="28"/>
        </w:rPr>
      </w:pPr>
      <w:r>
        <w:rPr>
          <w:rFonts w:hint="eastAsia" w:ascii="宋体" w:hAnsi="宋体" w:cs="宋体"/>
          <w:kern w:val="0"/>
          <w:sz w:val="28"/>
          <w:szCs w:val="28"/>
        </w:rPr>
        <w:t>1、开启一览表必须加盖响应单位公章（复印件无效）。</w:t>
      </w:r>
    </w:p>
    <w:p>
      <w:pPr>
        <w:rPr>
          <w:rFonts w:ascii="宋体" w:hAnsi="宋体" w:cs="宋体"/>
          <w:kern w:val="0"/>
          <w:sz w:val="28"/>
          <w:szCs w:val="28"/>
        </w:rPr>
      </w:pPr>
      <w:r>
        <w:rPr>
          <w:rFonts w:hint="eastAsia" w:ascii="宋体" w:hAnsi="宋体" w:cs="宋体"/>
          <w:kern w:val="0"/>
          <w:sz w:val="28"/>
          <w:szCs w:val="28"/>
        </w:rPr>
        <w:t>2、如有标段，供应商投任何一个标段的标的，都需单独填写开启一览表。</w:t>
      </w:r>
    </w:p>
    <w:p>
      <w:pPr>
        <w:snapToGrid w:val="0"/>
        <w:spacing w:line="400" w:lineRule="exact"/>
        <w:contextualSpacing/>
        <w:rPr>
          <w:rFonts w:ascii="宋体" w:hAnsi="宋体" w:cs="宋体"/>
          <w:b/>
          <w:kern w:val="0"/>
          <w:sz w:val="28"/>
          <w:szCs w:val="28"/>
        </w:rPr>
      </w:pPr>
      <w:r>
        <w:rPr>
          <w:rFonts w:hint="eastAsia" w:ascii="宋体" w:hAnsi="宋体" w:cs="宋体"/>
          <w:b/>
          <w:kern w:val="0"/>
          <w:sz w:val="28"/>
          <w:szCs w:val="28"/>
        </w:rPr>
        <w:t>3、报价费率保留2位小数点。</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pStyle w:val="2"/>
        <w:rPr>
          <w:rFonts w:ascii="宋体" w:hAnsi="宋体" w:cs="宋体"/>
          <w:b/>
          <w:kern w:val="0"/>
          <w:szCs w:val="28"/>
        </w:rPr>
      </w:pPr>
    </w:p>
    <w:p>
      <w:pPr>
        <w:rPr>
          <w:rFonts w:ascii="宋体" w:hAnsi="宋体" w:cs="宋体"/>
          <w:b/>
          <w:kern w:val="0"/>
          <w:sz w:val="28"/>
          <w:szCs w:val="28"/>
        </w:rPr>
      </w:pPr>
    </w:p>
    <w:p>
      <w:pPr>
        <w:pStyle w:val="2"/>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ascii="宋体" w:hAnsi="宋体" w:cs="宋体"/>
          <w:b/>
          <w:kern w:val="0"/>
          <w:sz w:val="28"/>
          <w:szCs w:val="28"/>
        </w:rPr>
      </w:pPr>
    </w:p>
    <w:p>
      <w:pPr>
        <w:snapToGrid w:val="0"/>
        <w:spacing w:line="300" w:lineRule="auto"/>
        <w:outlineLvl w:val="0"/>
        <w:rPr>
          <w:rFonts w:ascii="宋体" w:hAnsi="宋体" w:cs="宋体"/>
          <w:sz w:val="32"/>
          <w:szCs w:val="32"/>
        </w:rPr>
      </w:pPr>
      <w:r>
        <w:rPr>
          <w:rFonts w:hint="eastAsia" w:ascii="宋体" w:hAnsi="宋体" w:cs="宋体"/>
          <w:sz w:val="32"/>
          <w:szCs w:val="32"/>
        </w:rPr>
        <w:t>附件7</w:t>
      </w:r>
    </w:p>
    <w:p>
      <w:pPr>
        <w:snapToGrid w:val="0"/>
        <w:spacing w:line="300" w:lineRule="auto"/>
        <w:outlineLvl w:val="0"/>
        <w:rPr>
          <w:rFonts w:ascii="宋体" w:hAnsi="宋体" w:cs="宋体"/>
          <w:sz w:val="28"/>
          <w:szCs w:val="28"/>
        </w:rPr>
      </w:pPr>
    </w:p>
    <w:p>
      <w:pPr>
        <w:snapToGrid w:val="0"/>
        <w:spacing w:line="300" w:lineRule="auto"/>
        <w:jc w:val="center"/>
        <w:outlineLvl w:val="0"/>
        <w:rPr>
          <w:rFonts w:ascii="宋体" w:hAnsi="宋体" w:cs="宋体"/>
          <w:b/>
          <w:bCs/>
          <w:sz w:val="28"/>
          <w:szCs w:val="28"/>
          <w:lang w:bidi="zh-CN"/>
        </w:rPr>
      </w:pPr>
      <w:r>
        <w:rPr>
          <w:rFonts w:hint="eastAsia" w:ascii="宋体" w:hAnsi="宋体" w:cs="宋体"/>
          <w:b/>
          <w:bCs/>
          <w:sz w:val="28"/>
          <w:szCs w:val="28"/>
          <w:lang w:bidi="zh-CN"/>
        </w:rPr>
        <w:t>中小企业声明函</w:t>
      </w:r>
    </w:p>
    <w:p>
      <w:pPr>
        <w:snapToGrid w:val="0"/>
        <w:spacing w:line="360" w:lineRule="auto"/>
        <w:ind w:firstLine="560" w:firstLineChars="200"/>
        <w:outlineLvl w:val="0"/>
        <w:rPr>
          <w:rFonts w:ascii="宋体" w:hAnsi="宋体" w:cs="宋体"/>
          <w:sz w:val="28"/>
          <w:szCs w:val="28"/>
          <w:lang w:bidi="zh-CN"/>
        </w:rPr>
      </w:pPr>
      <w:r>
        <w:rPr>
          <w:rFonts w:hint="eastAsia" w:ascii="宋体" w:hAnsi="宋体" w:cs="宋体"/>
          <w:sz w:val="28"/>
          <w:szCs w:val="28"/>
          <w:lang w:bidi="zh-CN"/>
        </w:rPr>
        <w:t>本公司（联合体）郑重声明，根据《政府采购促进中小企业发展管理办法》（财库﹝2020﹞46 号）的规定，本公司（联合体）参加</w:t>
      </w:r>
      <w:r>
        <w:rPr>
          <w:rFonts w:hint="eastAsia" w:ascii="宋体" w:hAnsi="宋体" w:cs="宋体"/>
          <w:sz w:val="28"/>
          <w:szCs w:val="28"/>
          <w:u w:val="single"/>
          <w:lang w:bidi="zh-CN"/>
        </w:rPr>
        <w:t>（单位名称）</w:t>
      </w:r>
      <w:r>
        <w:rPr>
          <w:rFonts w:hint="eastAsia" w:ascii="宋体" w:hAnsi="宋体" w:cs="宋体"/>
          <w:sz w:val="28"/>
          <w:szCs w:val="28"/>
          <w:lang w:bidi="zh-CN"/>
        </w:rPr>
        <w:t>的</w:t>
      </w:r>
      <w:r>
        <w:rPr>
          <w:rFonts w:hint="eastAsia" w:ascii="宋体" w:hAnsi="宋体" w:cs="宋体"/>
          <w:sz w:val="28"/>
          <w:szCs w:val="28"/>
          <w:u w:val="single"/>
          <w:lang w:bidi="zh-CN"/>
        </w:rPr>
        <w:t>（项目名称）</w:t>
      </w:r>
      <w:r>
        <w:rPr>
          <w:rFonts w:hint="eastAsia" w:ascii="宋体" w:hAnsi="宋体" w:cs="宋体"/>
          <w:sz w:val="28"/>
          <w:szCs w:val="28"/>
          <w:lang w:bidi="zh-CN"/>
        </w:rPr>
        <w:t>采购活动，服务全部由符合政策要求的中小企业承接）。相关企业（含联合 体中的中小企业、签订分包意向协议的中小企业）的具体情况如下：</w:t>
      </w:r>
    </w:p>
    <w:p>
      <w:pPr>
        <w:snapToGrid w:val="0"/>
        <w:spacing w:line="360" w:lineRule="auto"/>
        <w:jc w:val="left"/>
        <w:outlineLvl w:val="0"/>
        <w:rPr>
          <w:rFonts w:ascii="宋体" w:hAnsi="宋体" w:cs="宋体"/>
          <w:sz w:val="28"/>
          <w:szCs w:val="28"/>
          <w:lang w:bidi="zh-CN"/>
        </w:rPr>
      </w:pPr>
      <w:r>
        <w:rPr>
          <w:rFonts w:hint="eastAsia" w:ascii="宋体" w:hAnsi="宋体" w:cs="宋体"/>
          <w:sz w:val="28"/>
          <w:szCs w:val="28"/>
          <w:lang w:bidi="zh-CN"/>
        </w:rPr>
        <w:t>1.</w:t>
      </w:r>
      <w:r>
        <w:rPr>
          <w:rFonts w:hint="eastAsia" w:ascii="宋体" w:hAnsi="宋体" w:cs="宋体"/>
          <w:sz w:val="28"/>
          <w:szCs w:val="28"/>
          <w:u w:val="single"/>
          <w:lang w:bidi="zh-CN"/>
        </w:rPr>
        <w:t>（标的名称）</w:t>
      </w:r>
      <w:r>
        <w:rPr>
          <w:rFonts w:hint="eastAsia" w:ascii="宋体" w:hAnsi="宋体" w:cs="宋体"/>
          <w:sz w:val="28"/>
          <w:szCs w:val="28"/>
          <w:lang w:bidi="zh-CN"/>
        </w:rPr>
        <w:t>，属于</w:t>
      </w:r>
      <w:r>
        <w:rPr>
          <w:rFonts w:hint="eastAsia" w:ascii="宋体" w:hAnsi="宋体" w:cs="宋体"/>
          <w:sz w:val="28"/>
          <w:szCs w:val="28"/>
          <w:u w:val="single"/>
          <w:lang w:bidi="zh-CN"/>
        </w:rPr>
        <w:t>（租赁和商务服务业）</w:t>
      </w:r>
      <w:r>
        <w:rPr>
          <w:rFonts w:hint="eastAsia" w:ascii="宋体" w:hAnsi="宋体" w:cs="宋体"/>
          <w:sz w:val="28"/>
          <w:szCs w:val="28"/>
          <w:lang w:bidi="zh-CN"/>
        </w:rPr>
        <w:t>；承接企业为</w:t>
      </w:r>
      <w:r>
        <w:rPr>
          <w:rFonts w:hint="eastAsia" w:ascii="宋体" w:hAnsi="宋体" w:cs="宋体"/>
          <w:sz w:val="28"/>
          <w:szCs w:val="28"/>
          <w:u w:val="single"/>
          <w:lang w:bidi="zh-CN"/>
        </w:rPr>
        <w:t>（企业名称）</w:t>
      </w:r>
      <w:r>
        <w:rPr>
          <w:rFonts w:hint="eastAsia" w:ascii="宋体" w:hAnsi="宋体" w:cs="宋体"/>
          <w:sz w:val="28"/>
          <w:szCs w:val="28"/>
          <w:lang w:bidi="zh-CN"/>
        </w:rPr>
        <w:t>，从业人员</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人，营业收入为</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万元，资产总额为</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万元，属于</w:t>
      </w:r>
      <w:r>
        <w:rPr>
          <w:rFonts w:hint="eastAsia" w:ascii="宋体" w:hAnsi="宋体" w:cs="宋体"/>
          <w:sz w:val="28"/>
          <w:szCs w:val="28"/>
          <w:u w:val="single"/>
          <w:lang w:bidi="zh-CN"/>
        </w:rPr>
        <w:t>（中型企业、小型企业、微型企业）</w:t>
      </w:r>
      <w:r>
        <w:rPr>
          <w:rFonts w:hint="eastAsia" w:ascii="宋体" w:hAnsi="宋体" w:cs="宋体"/>
          <w:sz w:val="28"/>
          <w:szCs w:val="28"/>
          <w:lang w:bidi="zh-CN"/>
        </w:rPr>
        <w:t>；</w:t>
      </w:r>
    </w:p>
    <w:p>
      <w:pPr>
        <w:snapToGrid w:val="0"/>
        <w:spacing w:line="360" w:lineRule="auto"/>
        <w:jc w:val="left"/>
        <w:outlineLvl w:val="0"/>
        <w:rPr>
          <w:rFonts w:ascii="宋体" w:hAnsi="宋体" w:cs="宋体"/>
          <w:sz w:val="28"/>
          <w:szCs w:val="28"/>
          <w:lang w:bidi="zh-CN"/>
        </w:rPr>
      </w:pPr>
      <w:r>
        <w:rPr>
          <w:rFonts w:hint="eastAsia" w:ascii="宋体" w:hAnsi="宋体" w:cs="宋体"/>
          <w:sz w:val="28"/>
          <w:szCs w:val="28"/>
          <w:lang w:bidi="zh-CN"/>
        </w:rPr>
        <w:t>2.</w:t>
      </w:r>
      <w:r>
        <w:rPr>
          <w:rFonts w:hint="eastAsia" w:ascii="宋体" w:hAnsi="宋体" w:cs="宋体"/>
          <w:sz w:val="28"/>
          <w:szCs w:val="28"/>
          <w:u w:val="single"/>
          <w:lang w:bidi="zh-CN"/>
        </w:rPr>
        <w:t>（标的名称）</w:t>
      </w:r>
      <w:r>
        <w:rPr>
          <w:rFonts w:hint="eastAsia" w:ascii="宋体" w:hAnsi="宋体" w:cs="宋体"/>
          <w:sz w:val="28"/>
          <w:szCs w:val="28"/>
          <w:lang w:bidi="zh-CN"/>
        </w:rPr>
        <w:t>，属于</w:t>
      </w:r>
      <w:r>
        <w:rPr>
          <w:rFonts w:hint="eastAsia" w:ascii="宋体" w:hAnsi="宋体" w:cs="宋体"/>
          <w:sz w:val="28"/>
          <w:szCs w:val="28"/>
          <w:u w:val="single"/>
          <w:lang w:bidi="zh-CN"/>
        </w:rPr>
        <w:t>（租赁和商务服务业）</w:t>
      </w:r>
      <w:r>
        <w:rPr>
          <w:rFonts w:hint="eastAsia" w:ascii="宋体" w:hAnsi="宋体" w:cs="宋体"/>
          <w:sz w:val="28"/>
          <w:szCs w:val="28"/>
          <w:lang w:bidi="zh-CN"/>
        </w:rPr>
        <w:t>；承接企业为</w:t>
      </w:r>
      <w:r>
        <w:rPr>
          <w:rFonts w:hint="eastAsia" w:ascii="宋体" w:hAnsi="宋体" w:cs="宋体"/>
          <w:sz w:val="28"/>
          <w:szCs w:val="28"/>
          <w:u w:val="single"/>
          <w:lang w:bidi="zh-CN"/>
        </w:rPr>
        <w:t>（企业名称）</w:t>
      </w:r>
      <w:r>
        <w:rPr>
          <w:rFonts w:hint="eastAsia" w:ascii="宋体" w:hAnsi="宋体" w:cs="宋体"/>
          <w:sz w:val="28"/>
          <w:szCs w:val="28"/>
          <w:lang w:bidi="zh-CN"/>
        </w:rPr>
        <w:t>，从业人员</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人，营业收入为</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万元，资产总额为</w:t>
      </w:r>
      <w:r>
        <w:rPr>
          <w:rFonts w:hint="eastAsia" w:ascii="宋体" w:hAnsi="宋体" w:cs="宋体"/>
          <w:sz w:val="28"/>
          <w:szCs w:val="28"/>
          <w:u w:val="single"/>
          <w:lang w:bidi="zh-CN"/>
        </w:rPr>
        <w:t xml:space="preserve"> </w:t>
      </w:r>
      <w:r>
        <w:rPr>
          <w:rFonts w:hint="eastAsia" w:ascii="宋体" w:hAnsi="宋体" w:cs="宋体"/>
          <w:sz w:val="28"/>
          <w:szCs w:val="28"/>
          <w:u w:val="single"/>
          <w:lang w:bidi="zh-CN"/>
        </w:rPr>
        <w:tab/>
      </w:r>
      <w:r>
        <w:rPr>
          <w:rFonts w:hint="eastAsia" w:ascii="宋体" w:hAnsi="宋体" w:cs="宋体"/>
          <w:sz w:val="28"/>
          <w:szCs w:val="28"/>
          <w:lang w:bidi="zh-CN"/>
        </w:rPr>
        <w:t>万元，属于</w:t>
      </w:r>
      <w:r>
        <w:rPr>
          <w:rFonts w:hint="eastAsia" w:ascii="宋体" w:hAnsi="宋体" w:cs="宋体"/>
          <w:sz w:val="28"/>
          <w:szCs w:val="28"/>
          <w:u w:val="single"/>
          <w:lang w:bidi="zh-CN"/>
        </w:rPr>
        <w:t>（中型企业、小型企业、微型企业）</w:t>
      </w:r>
      <w:r>
        <w:rPr>
          <w:rFonts w:hint="eastAsia" w:ascii="宋体" w:hAnsi="宋体" w:cs="宋体"/>
          <w:sz w:val="28"/>
          <w:szCs w:val="28"/>
          <w:lang w:bidi="zh-CN"/>
        </w:rPr>
        <w:t>；</w:t>
      </w:r>
    </w:p>
    <w:p>
      <w:pPr>
        <w:snapToGrid w:val="0"/>
        <w:spacing w:line="360" w:lineRule="auto"/>
        <w:jc w:val="left"/>
        <w:outlineLvl w:val="0"/>
        <w:rPr>
          <w:rFonts w:ascii="宋体" w:hAnsi="宋体" w:cs="宋体"/>
          <w:sz w:val="28"/>
          <w:szCs w:val="28"/>
          <w:lang w:bidi="zh-CN"/>
        </w:rPr>
      </w:pPr>
      <w:r>
        <w:rPr>
          <w:rFonts w:hint="eastAsia" w:ascii="宋体" w:hAnsi="宋体" w:cs="宋体"/>
          <w:sz w:val="28"/>
          <w:szCs w:val="28"/>
          <w:lang w:bidi="zh-CN"/>
        </w:rPr>
        <w:t>……</w:t>
      </w:r>
    </w:p>
    <w:p>
      <w:pPr>
        <w:snapToGrid w:val="0"/>
        <w:spacing w:line="360" w:lineRule="auto"/>
        <w:ind w:firstLine="560" w:firstLineChars="200"/>
        <w:outlineLvl w:val="0"/>
        <w:rPr>
          <w:rFonts w:ascii="宋体" w:hAnsi="宋体" w:cs="宋体"/>
          <w:sz w:val="28"/>
          <w:szCs w:val="28"/>
          <w:lang w:bidi="zh-CN"/>
        </w:rPr>
      </w:pPr>
      <w:r>
        <w:rPr>
          <w:rFonts w:hint="eastAsia" w:ascii="宋体" w:hAnsi="宋体" w:cs="宋体"/>
          <w:sz w:val="28"/>
          <w:szCs w:val="28"/>
          <w:lang w:bidi="zh-CN"/>
        </w:rPr>
        <w:t>以上企业，不属于大企业的分支机构，不存在控股股东为大企业的情形，也不存在与大企业的负责人为同一人的情形。</w:t>
      </w:r>
    </w:p>
    <w:p>
      <w:pPr>
        <w:snapToGrid w:val="0"/>
        <w:spacing w:line="360" w:lineRule="auto"/>
        <w:ind w:firstLine="560" w:firstLineChars="200"/>
        <w:outlineLvl w:val="0"/>
        <w:rPr>
          <w:rFonts w:ascii="宋体" w:hAnsi="宋体" w:cs="宋体"/>
          <w:sz w:val="28"/>
          <w:szCs w:val="28"/>
          <w:lang w:bidi="zh-CN"/>
        </w:rPr>
      </w:pPr>
      <w:r>
        <w:rPr>
          <w:rFonts w:hint="eastAsia" w:ascii="宋体" w:hAnsi="宋体" w:cs="宋体"/>
          <w:sz w:val="28"/>
          <w:szCs w:val="28"/>
          <w:lang w:bidi="zh-CN"/>
        </w:rPr>
        <w:t>本企业对上述声明内容的真实性负责。如有虚假，将依法承担相应责任。</w:t>
      </w:r>
    </w:p>
    <w:p>
      <w:pPr>
        <w:snapToGrid w:val="0"/>
        <w:spacing w:line="300" w:lineRule="auto"/>
        <w:outlineLvl w:val="0"/>
        <w:rPr>
          <w:rFonts w:ascii="宋体" w:hAnsi="宋体" w:cs="宋体"/>
          <w:sz w:val="28"/>
          <w:szCs w:val="28"/>
          <w:lang w:bidi="zh-CN"/>
        </w:rPr>
      </w:pPr>
    </w:p>
    <w:p>
      <w:pPr>
        <w:snapToGrid w:val="0"/>
        <w:spacing w:line="300" w:lineRule="auto"/>
        <w:ind w:firstLine="4900" w:firstLineChars="1750"/>
        <w:outlineLvl w:val="0"/>
        <w:rPr>
          <w:rFonts w:ascii="宋体" w:hAnsi="宋体" w:cs="宋体"/>
          <w:sz w:val="28"/>
          <w:szCs w:val="28"/>
          <w:lang w:bidi="zh-CN"/>
        </w:rPr>
      </w:pPr>
      <w:r>
        <w:rPr>
          <w:rFonts w:hint="eastAsia" w:ascii="宋体" w:hAnsi="宋体" w:cs="宋体"/>
          <w:sz w:val="28"/>
          <w:szCs w:val="28"/>
          <w:lang w:bidi="zh-CN"/>
        </w:rPr>
        <w:t>企业名称（盖章）：</w:t>
      </w:r>
    </w:p>
    <w:p>
      <w:pPr>
        <w:snapToGrid w:val="0"/>
        <w:spacing w:line="300" w:lineRule="auto"/>
        <w:ind w:firstLine="4900" w:firstLineChars="1750"/>
        <w:outlineLvl w:val="0"/>
        <w:rPr>
          <w:rFonts w:ascii="宋体" w:hAnsi="宋体" w:cs="宋体"/>
          <w:sz w:val="28"/>
          <w:szCs w:val="28"/>
          <w:lang w:bidi="zh-CN"/>
        </w:rPr>
      </w:pPr>
      <w:r>
        <w:rPr>
          <w:rFonts w:hint="eastAsia" w:ascii="宋体" w:hAnsi="宋体" w:cs="宋体"/>
          <w:sz w:val="28"/>
          <w:szCs w:val="28"/>
          <w:lang w:bidi="zh-CN"/>
        </w:rPr>
        <w:t>日期：</w:t>
      </w: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32"/>
          <w:szCs w:val="32"/>
        </w:rPr>
      </w:pPr>
    </w:p>
    <w:p>
      <w:pPr>
        <w:snapToGrid w:val="0"/>
        <w:spacing w:line="300" w:lineRule="auto"/>
        <w:outlineLvl w:val="0"/>
        <w:rPr>
          <w:rFonts w:ascii="宋体" w:hAnsi="宋体" w:cs="宋体"/>
          <w:sz w:val="32"/>
          <w:szCs w:val="32"/>
        </w:rPr>
      </w:pPr>
    </w:p>
    <w:p>
      <w:pPr>
        <w:snapToGrid w:val="0"/>
        <w:spacing w:line="300" w:lineRule="auto"/>
        <w:outlineLvl w:val="0"/>
        <w:rPr>
          <w:rFonts w:ascii="宋体" w:hAnsi="宋体" w:cs="宋体"/>
          <w:sz w:val="32"/>
          <w:szCs w:val="32"/>
        </w:rPr>
      </w:pPr>
    </w:p>
    <w:p>
      <w:pPr>
        <w:snapToGrid w:val="0"/>
        <w:spacing w:line="300" w:lineRule="auto"/>
        <w:outlineLvl w:val="0"/>
        <w:rPr>
          <w:rFonts w:hint="eastAsia" w:ascii="宋体" w:hAnsi="宋体" w:cs="宋体"/>
          <w:sz w:val="32"/>
          <w:szCs w:val="32"/>
        </w:rPr>
      </w:pPr>
    </w:p>
    <w:p>
      <w:pPr>
        <w:snapToGrid w:val="0"/>
        <w:spacing w:line="300" w:lineRule="auto"/>
        <w:outlineLvl w:val="0"/>
        <w:rPr>
          <w:rFonts w:ascii="宋体" w:hAnsi="宋体" w:cs="宋体"/>
          <w:sz w:val="32"/>
          <w:szCs w:val="32"/>
        </w:rPr>
      </w:pPr>
      <w:r>
        <w:rPr>
          <w:rFonts w:hint="eastAsia" w:ascii="宋体" w:hAnsi="宋体" w:cs="宋体"/>
          <w:sz w:val="32"/>
          <w:szCs w:val="32"/>
        </w:rPr>
        <w:t>附件8</w:t>
      </w:r>
    </w:p>
    <w:p>
      <w:pPr>
        <w:spacing w:line="460" w:lineRule="exact"/>
        <w:jc w:val="center"/>
        <w:rPr>
          <w:rFonts w:ascii="宋体" w:hAnsi="宋体" w:cs="宋体"/>
          <w:b/>
          <w:sz w:val="32"/>
          <w:szCs w:val="32"/>
        </w:rPr>
      </w:pPr>
      <w:r>
        <w:rPr>
          <w:rFonts w:hint="eastAsia" w:ascii="宋体" w:hAnsi="宋体" w:cs="宋体"/>
          <w:b/>
          <w:sz w:val="32"/>
          <w:szCs w:val="32"/>
        </w:rPr>
        <w:t>残疾人福利性单位声明函</w:t>
      </w:r>
    </w:p>
    <w:p>
      <w:pPr>
        <w:spacing w:line="588" w:lineRule="exact"/>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宋体" w:hAnsi="宋体" w:cs="宋体"/>
          <w:sz w:val="28"/>
          <w:szCs w:val="28"/>
          <w:u w:val="single"/>
        </w:rPr>
        <w:t xml:space="preserve">       </w:t>
      </w:r>
      <w:r>
        <w:rPr>
          <w:rFonts w:hint="eastAsia" w:ascii="宋体" w:hAnsi="宋体" w:cs="宋体"/>
          <w:sz w:val="28"/>
          <w:szCs w:val="28"/>
        </w:rPr>
        <w:t>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pacing w:line="588" w:lineRule="exact"/>
        <w:ind w:firstLine="560" w:firstLineChars="200"/>
        <w:rPr>
          <w:rFonts w:ascii="宋体" w:hAnsi="宋体" w:cs="宋体"/>
          <w:sz w:val="28"/>
          <w:szCs w:val="28"/>
        </w:rPr>
      </w:pPr>
      <w:r>
        <w:rPr>
          <w:rFonts w:hint="eastAsia" w:ascii="宋体" w:hAnsi="宋体" w:cs="宋体"/>
          <w:sz w:val="28"/>
          <w:szCs w:val="28"/>
        </w:rPr>
        <w:t>（备注：1、供应商如不提供此声明函，价格将不做相应扣除。2、入围供应商为残疾人福利单位的，此声明函将随入围结果同时公告，接受社会监督）</w:t>
      </w:r>
    </w:p>
    <w:p>
      <w:pPr>
        <w:spacing w:line="588" w:lineRule="exact"/>
        <w:ind w:firstLine="584" w:firstLineChars="200"/>
        <w:rPr>
          <w:rFonts w:ascii="宋体" w:hAnsi="宋体" w:cs="宋体"/>
          <w:spacing w:val="6"/>
          <w:sz w:val="28"/>
          <w:szCs w:val="28"/>
        </w:rPr>
      </w:pPr>
    </w:p>
    <w:p>
      <w:pPr>
        <w:spacing w:line="588" w:lineRule="exact"/>
        <w:ind w:firstLine="584" w:firstLineChars="200"/>
        <w:rPr>
          <w:rFonts w:ascii="宋体" w:hAnsi="宋体" w:cs="宋体"/>
          <w:spacing w:val="6"/>
          <w:sz w:val="28"/>
          <w:szCs w:val="28"/>
        </w:rPr>
      </w:pPr>
    </w:p>
    <w:p>
      <w:pPr>
        <w:spacing w:line="588" w:lineRule="exact"/>
        <w:ind w:firstLine="584" w:firstLineChars="200"/>
        <w:rPr>
          <w:rFonts w:ascii="宋体" w:hAnsi="宋体" w:cs="宋体"/>
          <w:spacing w:val="6"/>
          <w:sz w:val="28"/>
          <w:szCs w:val="28"/>
        </w:rPr>
      </w:pPr>
    </w:p>
    <w:p>
      <w:pPr>
        <w:spacing w:line="588" w:lineRule="exact"/>
        <w:ind w:firstLine="584" w:firstLineChars="200"/>
        <w:rPr>
          <w:rFonts w:ascii="宋体" w:hAnsi="宋体" w:cs="宋体"/>
          <w:spacing w:val="6"/>
          <w:sz w:val="28"/>
          <w:szCs w:val="28"/>
        </w:rPr>
      </w:pPr>
    </w:p>
    <w:p>
      <w:pPr>
        <w:tabs>
          <w:tab w:val="left" w:pos="4860"/>
        </w:tabs>
        <w:spacing w:line="588" w:lineRule="exact"/>
        <w:ind w:right="1560" w:firstLine="584" w:firstLineChars="200"/>
        <w:jc w:val="center"/>
        <w:rPr>
          <w:rFonts w:ascii="宋体" w:hAnsi="宋体" w:cs="宋体"/>
          <w:sz w:val="28"/>
          <w:szCs w:val="28"/>
        </w:rPr>
      </w:pPr>
      <w:r>
        <w:rPr>
          <w:rFonts w:hint="eastAsia" w:ascii="宋体" w:hAnsi="宋体" w:cs="宋体"/>
          <w:spacing w:val="6"/>
          <w:sz w:val="28"/>
          <w:szCs w:val="28"/>
        </w:rPr>
        <w:t xml:space="preserve">             </w:t>
      </w:r>
      <w:r>
        <w:rPr>
          <w:rFonts w:hint="eastAsia" w:ascii="宋体" w:hAnsi="宋体" w:cs="宋体"/>
          <w:sz w:val="28"/>
          <w:szCs w:val="28"/>
        </w:rPr>
        <w:t xml:space="preserve">           供应商全称（盖章）：</w:t>
      </w:r>
    </w:p>
    <w:p>
      <w:pPr>
        <w:tabs>
          <w:tab w:val="left" w:pos="4860"/>
        </w:tabs>
        <w:spacing w:line="588" w:lineRule="exact"/>
        <w:ind w:right="1560" w:firstLine="560" w:firstLineChars="200"/>
        <w:jc w:val="center"/>
        <w:rPr>
          <w:rFonts w:ascii="宋体" w:hAnsi="宋体" w:cs="宋体"/>
          <w:sz w:val="28"/>
          <w:szCs w:val="28"/>
        </w:rPr>
      </w:pPr>
      <w:r>
        <w:rPr>
          <w:rFonts w:hint="eastAsia" w:ascii="宋体" w:hAnsi="宋体" w:cs="宋体"/>
          <w:sz w:val="28"/>
          <w:szCs w:val="28"/>
        </w:rPr>
        <w:t xml:space="preserve">              日  期：</w:t>
      </w:r>
    </w:p>
    <w:p>
      <w:pPr>
        <w:ind w:firstLine="42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32"/>
          <w:szCs w:val="32"/>
        </w:rPr>
      </w:pPr>
    </w:p>
    <w:p>
      <w:pPr>
        <w:snapToGrid w:val="0"/>
        <w:spacing w:line="300" w:lineRule="auto"/>
        <w:outlineLvl w:val="0"/>
        <w:rPr>
          <w:rFonts w:ascii="宋体" w:hAnsi="宋体" w:cs="宋体"/>
          <w:sz w:val="32"/>
          <w:szCs w:val="32"/>
        </w:rPr>
      </w:pPr>
    </w:p>
    <w:p>
      <w:pPr>
        <w:snapToGrid w:val="0"/>
        <w:spacing w:line="300" w:lineRule="auto"/>
        <w:outlineLvl w:val="0"/>
        <w:rPr>
          <w:rFonts w:ascii="宋体" w:hAnsi="宋体" w:cs="宋体"/>
          <w:sz w:val="32"/>
          <w:szCs w:val="32"/>
        </w:rPr>
      </w:pPr>
      <w:r>
        <w:rPr>
          <w:rFonts w:hint="eastAsia" w:ascii="宋体" w:hAnsi="宋体" w:cs="宋体"/>
          <w:sz w:val="32"/>
          <w:szCs w:val="32"/>
        </w:rPr>
        <w:t>附件9</w:t>
      </w:r>
    </w:p>
    <w:p>
      <w:pPr>
        <w:snapToGrid w:val="0"/>
        <w:spacing w:line="420" w:lineRule="exact"/>
        <w:jc w:val="center"/>
        <w:outlineLvl w:val="3"/>
        <w:rPr>
          <w:rFonts w:ascii="宋体" w:hAnsi="宋体" w:cs="宋体"/>
          <w:b/>
          <w:bCs/>
          <w:sz w:val="32"/>
          <w:szCs w:val="32"/>
        </w:rPr>
      </w:pPr>
      <w:r>
        <w:rPr>
          <w:rFonts w:hint="eastAsia" w:ascii="宋体" w:hAnsi="宋体" w:cs="宋体"/>
          <w:b/>
          <w:bCs/>
          <w:sz w:val="32"/>
          <w:szCs w:val="32"/>
        </w:rPr>
        <w:t>监狱和戒毒企业证明材料</w:t>
      </w:r>
    </w:p>
    <w:p>
      <w:pPr>
        <w:snapToGrid w:val="0"/>
        <w:spacing w:line="420" w:lineRule="exact"/>
        <w:ind w:firstLine="495" w:firstLineChars="177"/>
        <w:rPr>
          <w:rFonts w:ascii="宋体" w:hAnsi="宋体" w:cs="宋体"/>
          <w:sz w:val="28"/>
          <w:szCs w:val="28"/>
        </w:rPr>
      </w:pPr>
    </w:p>
    <w:p>
      <w:pPr>
        <w:snapToGrid w:val="0"/>
        <w:spacing w:line="420" w:lineRule="exact"/>
        <w:ind w:firstLine="498" w:firstLineChars="177"/>
        <w:rPr>
          <w:rFonts w:ascii="宋体" w:hAnsi="宋体" w:cs="宋体"/>
          <w:b/>
          <w:sz w:val="28"/>
          <w:szCs w:val="28"/>
        </w:rPr>
      </w:pPr>
      <w:r>
        <w:rPr>
          <w:rFonts w:hint="eastAsia" w:ascii="宋体" w:hAnsi="宋体" w:cs="宋体"/>
          <w:b/>
          <w:sz w:val="28"/>
          <w:szCs w:val="28"/>
        </w:rPr>
        <w:t>（格式自拟）</w:t>
      </w:r>
    </w:p>
    <w:p>
      <w:pPr>
        <w:snapToGrid w:val="0"/>
        <w:spacing w:line="420" w:lineRule="exact"/>
        <w:ind w:firstLine="495" w:firstLineChars="177"/>
        <w:rPr>
          <w:rFonts w:ascii="宋体" w:hAnsi="宋体" w:cs="宋体"/>
          <w:sz w:val="28"/>
          <w:szCs w:val="28"/>
        </w:rPr>
      </w:pPr>
    </w:p>
    <w:p>
      <w:pPr>
        <w:snapToGrid w:val="0"/>
        <w:spacing w:line="420" w:lineRule="exact"/>
        <w:ind w:firstLine="660" w:firstLineChars="236"/>
        <w:rPr>
          <w:rFonts w:ascii="宋体" w:hAnsi="宋体" w:cs="宋体"/>
          <w:sz w:val="28"/>
          <w:szCs w:val="28"/>
        </w:rPr>
      </w:pPr>
      <w:r>
        <w:rPr>
          <w:rFonts w:hint="eastAsia" w:ascii="宋体" w:hAnsi="宋体" w:cs="宋体"/>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snapToGrid w:val="0"/>
        <w:spacing w:line="300" w:lineRule="auto"/>
        <w:outlineLvl w:val="0"/>
        <w:rPr>
          <w:rFonts w:ascii="宋体" w:hAnsi="宋体" w:cs="宋体"/>
          <w:sz w:val="28"/>
          <w:szCs w:val="28"/>
        </w:rPr>
      </w:pPr>
    </w:p>
    <w:p>
      <w:pPr>
        <w:rPr>
          <w:rFonts w:ascii="宋体" w:hAnsi="宋体" w:cs="宋体"/>
          <w:bCs/>
          <w:sz w:val="32"/>
          <w:szCs w:val="32"/>
          <w:lang w:bidi="ar"/>
        </w:rPr>
      </w:pPr>
    </w:p>
    <w:p>
      <w:pPr>
        <w:rPr>
          <w:rFonts w:ascii="宋体" w:hAnsi="宋体" w:cs="宋体"/>
          <w:bCs/>
          <w:sz w:val="32"/>
          <w:szCs w:val="32"/>
          <w:lang w:bidi="ar"/>
        </w:rPr>
      </w:pPr>
    </w:p>
    <w:p>
      <w:pPr>
        <w:rPr>
          <w:rFonts w:ascii="宋体" w:hAnsi="宋体" w:cs="宋体"/>
          <w:bCs/>
          <w:sz w:val="32"/>
          <w:szCs w:val="32"/>
          <w:lang w:bidi="ar"/>
        </w:rPr>
      </w:pPr>
      <w:r>
        <w:rPr>
          <w:rFonts w:hint="eastAsia" w:ascii="宋体" w:hAnsi="宋体" w:cs="宋体"/>
          <w:bCs/>
          <w:sz w:val="32"/>
          <w:szCs w:val="32"/>
          <w:lang w:bidi="ar"/>
        </w:rPr>
        <w:t>附件10</w:t>
      </w:r>
    </w:p>
    <w:p>
      <w:pPr>
        <w:snapToGrid w:val="0"/>
        <w:spacing w:line="520" w:lineRule="exact"/>
        <w:jc w:val="center"/>
        <w:outlineLvl w:val="4"/>
        <w:rPr>
          <w:rFonts w:ascii="宋体" w:hAnsi="宋体" w:cs="宋体"/>
          <w:b/>
          <w:bCs/>
          <w:sz w:val="28"/>
          <w:szCs w:val="28"/>
        </w:rPr>
      </w:pPr>
      <w:r>
        <w:rPr>
          <w:rFonts w:hint="eastAsia" w:ascii="宋体" w:hAnsi="宋体" w:cs="宋体"/>
          <w:b/>
          <w:bCs/>
          <w:sz w:val="28"/>
          <w:szCs w:val="28"/>
        </w:rPr>
        <w:t>远程开标承诺书</w:t>
      </w:r>
    </w:p>
    <w:p>
      <w:pPr>
        <w:pStyle w:val="15"/>
        <w:ind w:left="0" w:firstLine="0" w:firstLineChars="0"/>
        <w:rPr>
          <w:rFonts w:ascii="宋体" w:hAnsi="宋体" w:eastAsia="宋体" w:cs="宋体"/>
        </w:rPr>
      </w:pPr>
    </w:p>
    <w:p>
      <w:pPr>
        <w:widowControl/>
        <w:kinsoku w:val="0"/>
        <w:autoSpaceDE w:val="0"/>
        <w:autoSpaceDN w:val="0"/>
        <w:adjustRightInd w:val="0"/>
        <w:snapToGrid w:val="0"/>
        <w:spacing w:before="68" w:line="186" w:lineRule="auto"/>
        <w:jc w:val="left"/>
        <w:textAlignment w:val="baseline"/>
        <w:rPr>
          <w:rFonts w:ascii="宋体" w:hAnsi="宋体" w:cs="宋体"/>
          <w:snapToGrid w:val="0"/>
          <w:kern w:val="0"/>
          <w:sz w:val="24"/>
          <w:szCs w:val="21"/>
        </w:rPr>
      </w:pPr>
      <w:r>
        <w:rPr>
          <w:rFonts w:hint="eastAsia" w:ascii="宋体" w:hAnsi="宋体" w:cs="宋体"/>
          <w:snapToGrid w:val="0"/>
          <w:kern w:val="0"/>
          <w:sz w:val="24"/>
          <w:szCs w:val="21"/>
        </w:rPr>
        <w:t>致：</w:t>
      </w:r>
      <w:r>
        <w:rPr>
          <w:rFonts w:hint="eastAsia" w:ascii="宋体" w:hAnsi="宋体" w:cs="宋体"/>
          <w:snapToGrid w:val="0"/>
          <w:kern w:val="0"/>
          <w:sz w:val="24"/>
          <w:szCs w:val="21"/>
          <w:u w:val="single"/>
        </w:rPr>
        <w:t xml:space="preserve"> 南通市财政局</w:t>
      </w:r>
    </w:p>
    <w:p>
      <w:pPr>
        <w:overflowPunct w:val="0"/>
        <w:adjustRightInd w:val="0"/>
        <w:spacing w:line="360" w:lineRule="auto"/>
        <w:ind w:firstLine="660"/>
        <w:jc w:val="left"/>
        <w:textAlignment w:val="baseline"/>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我方郑重承诺：遵循公开、公平、公正和诚实守信的原则，参加本次远程开标会议，是我方真实意思的表达。</w:t>
      </w:r>
    </w:p>
    <w:p>
      <w:pPr>
        <w:spacing w:line="360" w:lineRule="auto"/>
        <w:ind w:firstLine="480" w:firstLineChars="200"/>
        <w:jc w:val="left"/>
        <w:rPr>
          <w:rFonts w:ascii="宋体" w:hAnsi="宋体" w:cs="宋体"/>
          <w:sz w:val="24"/>
        </w:rPr>
      </w:pPr>
      <w:r>
        <w:rPr>
          <w:rFonts w:hint="eastAsia" w:ascii="宋体" w:hAnsi="宋体" w:cs="宋体"/>
          <w:sz w:val="24"/>
        </w:rPr>
        <w:t>一、开标方式认可。我方知悉新型冠状病毒感染肺炎疫情影响，同意采购人对投标文件采用邮寄方式递交的决定。我方保证在开标结束后不对此开标方式或因我方未能实时交互产生的后果等内容提出异议。</w:t>
      </w:r>
    </w:p>
    <w:p>
      <w:pPr>
        <w:spacing w:line="360" w:lineRule="auto"/>
        <w:ind w:firstLine="480" w:firstLineChars="200"/>
        <w:jc w:val="left"/>
        <w:rPr>
          <w:rFonts w:ascii="宋体" w:hAnsi="宋体" w:cs="宋体"/>
          <w:sz w:val="24"/>
        </w:rPr>
      </w:pPr>
      <w:r>
        <w:rPr>
          <w:rFonts w:hint="eastAsia" w:ascii="宋体" w:hAnsi="宋体" w:cs="宋体"/>
          <w:sz w:val="24"/>
        </w:rPr>
        <w:t>二、遵守指令、不擅离职守。开标评标过程中，我方将坚持全程参加开评标会议，积极响应招标人的指令和操作要求，不擅离职守，始终保持通讯顺畅，因我方原因导致10分钟内无法与代理机构建立起联系的，即视为放弃交互的权利，我方认可招标人任意处置决定，接受包括终止投标资格在内的任何处理结果。</w:t>
      </w:r>
    </w:p>
    <w:p>
      <w:pPr>
        <w:spacing w:line="360" w:lineRule="auto"/>
        <w:ind w:firstLine="480" w:firstLineChars="200"/>
        <w:jc w:val="left"/>
        <w:rPr>
          <w:rFonts w:ascii="宋体" w:hAnsi="宋体" w:cs="宋体"/>
          <w:sz w:val="24"/>
        </w:rPr>
      </w:pPr>
      <w:r>
        <w:rPr>
          <w:rFonts w:hint="eastAsia" w:ascii="宋体" w:hAnsi="宋体" w:cs="宋体"/>
          <w:sz w:val="24"/>
        </w:rPr>
        <w:t>三、确保设施、设备工况良好。我方将负责提前检查电力供应、网络环境和远程开标会议  有关设施、设备的稳定性和安全性，因我方原因导致无法完成投标或者不能进行现场实时交互的，均由我方自行承担一切后果。</w:t>
      </w:r>
    </w:p>
    <w:p>
      <w:pPr>
        <w:spacing w:line="360" w:lineRule="auto"/>
        <w:ind w:firstLine="480" w:firstLineChars="200"/>
        <w:jc w:val="left"/>
        <w:rPr>
          <w:rFonts w:ascii="宋体" w:hAnsi="宋体" w:cs="宋体"/>
          <w:sz w:val="24"/>
        </w:rPr>
      </w:pPr>
      <w:r>
        <w:rPr>
          <w:rFonts w:hint="eastAsia" w:ascii="宋体" w:hAnsi="宋体" w:cs="宋体"/>
          <w:sz w:val="24"/>
        </w:rPr>
        <w:t>我方若有违反上述承诺内容的行为，自愿接受取消招投标资格、将不良行为记录记入档案等有关处理，并承担相应的法律责任。给招标人造成损失的，依法承担赔偿责任。</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承 诺 单 位（盖章）：</w:t>
      </w:r>
    </w:p>
    <w:p>
      <w:pPr>
        <w:spacing w:line="360" w:lineRule="auto"/>
        <w:ind w:firstLine="480" w:firstLineChars="200"/>
        <w:jc w:val="left"/>
        <w:rPr>
          <w:rFonts w:ascii="宋体" w:hAnsi="宋体" w:cs="宋体"/>
          <w:sz w:val="24"/>
        </w:rPr>
      </w:pPr>
      <w:r>
        <w:rPr>
          <w:rFonts w:hint="eastAsia" w:ascii="宋体" w:hAnsi="宋体" w:cs="宋体"/>
          <w:sz w:val="24"/>
        </w:rPr>
        <w:t>法定代表人（签名）  ：</w:t>
      </w:r>
    </w:p>
    <w:p>
      <w:pPr>
        <w:spacing w:line="360" w:lineRule="auto"/>
        <w:ind w:firstLine="480" w:firstLineChars="200"/>
        <w:jc w:val="left"/>
        <w:rPr>
          <w:rFonts w:ascii="宋体" w:hAnsi="宋体" w:cs="宋体"/>
          <w:sz w:val="24"/>
        </w:rPr>
      </w:pPr>
      <w:r>
        <w:rPr>
          <w:rFonts w:hint="eastAsia" w:ascii="宋体" w:hAnsi="宋体" w:cs="宋体"/>
          <w:sz w:val="24"/>
        </w:rPr>
        <w:t>授权委托人（签名）  ：</w:t>
      </w:r>
    </w:p>
    <w:p>
      <w:pPr>
        <w:spacing w:line="360" w:lineRule="auto"/>
        <w:ind w:firstLine="480" w:firstLineChars="200"/>
        <w:jc w:val="left"/>
        <w:rPr>
          <w:rFonts w:ascii="宋体" w:hAnsi="宋体" w:cs="宋体"/>
          <w:sz w:val="24"/>
        </w:rPr>
        <w:sectPr>
          <w:footerReference r:id="rId6" w:type="default"/>
          <w:pgSz w:w="11906" w:h="16838"/>
          <w:pgMar w:top="1440" w:right="1797" w:bottom="1440" w:left="1797" w:header="851" w:footer="992" w:gutter="0"/>
          <w:cols w:space="720" w:num="1"/>
          <w:docGrid w:type="lines" w:linePitch="312" w:charSpace="0"/>
        </w:sectPr>
      </w:pPr>
      <w:r>
        <w:rPr>
          <w:rFonts w:hint="eastAsia" w:ascii="宋体" w:hAnsi="宋体" w:cs="宋体"/>
          <w:sz w:val="24"/>
        </w:rPr>
        <w:t>年     月     日</w:t>
      </w:r>
    </w:p>
    <w:p>
      <w:pPr>
        <w:spacing w:before="47" w:line="219" w:lineRule="auto"/>
        <w:ind w:left="491"/>
        <w:rPr>
          <w:rFonts w:ascii="宋体" w:hAnsi="宋体" w:cs="宋体"/>
          <w:b/>
          <w:bCs/>
          <w:sz w:val="24"/>
        </w:rPr>
      </w:pPr>
      <w:r>
        <w:rPr>
          <w:rFonts w:hint="eastAsia" w:ascii="宋体" w:hAnsi="宋体" w:cs="宋体"/>
          <w:b/>
          <w:bCs/>
          <w:spacing w:val="-2"/>
          <w:sz w:val="24"/>
        </w:rPr>
        <w:t xml:space="preserve">附件11： </w:t>
      </w:r>
      <w:r>
        <w:rPr>
          <w:rFonts w:hint="eastAsia" w:ascii="宋体" w:hAnsi="宋体" w:cs="宋体"/>
          <w:b/>
          <w:bCs/>
          <w:spacing w:val="-1"/>
          <w:sz w:val="24"/>
        </w:rPr>
        <w:t>供应商业绩情况表</w:t>
      </w:r>
    </w:p>
    <w:p>
      <w:pPr>
        <w:spacing w:line="262" w:lineRule="auto"/>
        <w:rPr>
          <w:rFonts w:ascii="宋体" w:hAnsi="宋体" w:cs="宋体"/>
          <w:szCs w:val="21"/>
        </w:rPr>
      </w:pPr>
    </w:p>
    <w:p>
      <w:pPr>
        <w:spacing w:line="262" w:lineRule="auto"/>
        <w:rPr>
          <w:rFonts w:ascii="宋体" w:hAnsi="宋体" w:cs="宋体"/>
          <w:szCs w:val="21"/>
        </w:rPr>
      </w:pPr>
    </w:p>
    <w:p>
      <w:pPr>
        <w:spacing w:line="263" w:lineRule="auto"/>
        <w:rPr>
          <w:rFonts w:ascii="宋体" w:hAnsi="宋体" w:cs="宋体"/>
          <w:szCs w:val="21"/>
        </w:rPr>
      </w:pPr>
    </w:p>
    <w:p>
      <w:pPr>
        <w:spacing w:before="78" w:line="219" w:lineRule="auto"/>
        <w:ind w:left="3525"/>
        <w:rPr>
          <w:rFonts w:ascii="宋体" w:hAnsi="宋体" w:cs="宋体"/>
          <w:sz w:val="24"/>
        </w:rPr>
      </w:pPr>
      <w:r>
        <w:rPr>
          <w:rFonts w:hint="eastAsia" w:ascii="宋体" w:hAnsi="宋体" w:cs="宋体"/>
          <w:spacing w:val="-1"/>
          <w:sz w:val="24"/>
        </w:rPr>
        <w:t>供应商</w:t>
      </w:r>
      <w:r>
        <w:rPr>
          <w:rFonts w:hint="eastAsia" w:ascii="宋体" w:hAnsi="宋体" w:cs="宋体"/>
          <w:sz w:val="24"/>
        </w:rPr>
        <w:t>业绩情况表</w:t>
      </w:r>
    </w:p>
    <w:p>
      <w:pPr>
        <w:spacing w:line="144" w:lineRule="exact"/>
        <w:rPr>
          <w:rFonts w:ascii="宋体" w:hAnsi="宋体" w:cs="宋体"/>
          <w:szCs w:val="21"/>
        </w:rPr>
      </w:pPr>
    </w:p>
    <w:tbl>
      <w:tblPr>
        <w:tblStyle w:val="16"/>
        <w:tblW w:w="646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9"/>
        <w:gridCol w:w="1077"/>
        <w:gridCol w:w="1075"/>
        <w:gridCol w:w="1077"/>
        <w:gridCol w:w="1077"/>
        <w:gridCol w:w="1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spacing w:before="274" w:line="222" w:lineRule="auto"/>
              <w:ind w:left="115"/>
              <w:rPr>
                <w:rFonts w:ascii="宋体" w:hAnsi="宋体" w:cs="宋体"/>
                <w:szCs w:val="21"/>
              </w:rPr>
            </w:pPr>
            <w:r>
              <w:rPr>
                <w:rFonts w:hint="eastAsia" w:ascii="宋体" w:hAnsi="宋体" w:cs="宋体"/>
                <w:spacing w:val="-2"/>
                <w:szCs w:val="21"/>
              </w:rPr>
              <w:t>序</w:t>
            </w:r>
            <w:r>
              <w:rPr>
                <w:rFonts w:hint="eastAsia" w:ascii="宋体" w:hAnsi="宋体" w:cs="宋体"/>
                <w:spacing w:val="-1"/>
                <w:szCs w:val="21"/>
              </w:rPr>
              <w:t>号</w:t>
            </w: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spacing w:before="274" w:line="221" w:lineRule="auto"/>
              <w:ind w:left="115"/>
              <w:rPr>
                <w:rFonts w:ascii="宋体" w:hAnsi="宋体" w:cs="宋体"/>
                <w:szCs w:val="21"/>
              </w:rPr>
            </w:pPr>
            <w:r>
              <w:rPr>
                <w:rFonts w:hint="eastAsia" w:ascii="宋体" w:hAnsi="宋体" w:cs="宋体"/>
                <w:spacing w:val="-3"/>
                <w:szCs w:val="21"/>
              </w:rPr>
              <w:t>项</w:t>
            </w:r>
            <w:r>
              <w:rPr>
                <w:rFonts w:hint="eastAsia" w:ascii="宋体" w:hAnsi="宋体" w:cs="宋体"/>
                <w:spacing w:val="-2"/>
                <w:szCs w:val="21"/>
              </w:rPr>
              <w:t>目名称</w:t>
            </w: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spacing w:before="274" w:line="221" w:lineRule="auto"/>
              <w:ind w:left="112"/>
              <w:rPr>
                <w:rFonts w:ascii="宋体" w:hAnsi="宋体" w:cs="宋体"/>
                <w:szCs w:val="21"/>
              </w:rPr>
            </w:pPr>
            <w:r>
              <w:rPr>
                <w:rFonts w:hint="eastAsia" w:ascii="宋体" w:hAnsi="宋体" w:cs="宋体"/>
                <w:spacing w:val="-1"/>
                <w:szCs w:val="21"/>
              </w:rPr>
              <w:t>委托人</w:t>
            </w: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spacing w:before="273" w:line="221" w:lineRule="auto"/>
              <w:ind w:left="116"/>
              <w:rPr>
                <w:rFonts w:ascii="宋体" w:hAnsi="宋体" w:cs="宋体"/>
                <w:szCs w:val="21"/>
              </w:rPr>
            </w:pPr>
            <w:r>
              <w:rPr>
                <w:rFonts w:hint="eastAsia" w:ascii="宋体" w:hAnsi="宋体" w:cs="宋体"/>
                <w:spacing w:val="-2"/>
                <w:szCs w:val="21"/>
              </w:rPr>
              <w:t>项目</w:t>
            </w:r>
            <w:r>
              <w:rPr>
                <w:rFonts w:hint="eastAsia" w:ascii="宋体" w:hAnsi="宋体" w:cs="宋体"/>
                <w:spacing w:val="-1"/>
                <w:szCs w:val="21"/>
              </w:rPr>
              <w:t>规模（万元）</w:t>
            </w: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spacing w:before="273" w:line="221" w:lineRule="auto"/>
              <w:ind w:left="115"/>
              <w:rPr>
                <w:rFonts w:ascii="宋体" w:hAnsi="宋体" w:cs="宋体"/>
                <w:szCs w:val="21"/>
              </w:rPr>
            </w:pPr>
            <w:r>
              <w:rPr>
                <w:rFonts w:hint="eastAsia" w:ascii="宋体" w:hAnsi="宋体" w:cs="宋体"/>
                <w:spacing w:val="-1"/>
                <w:szCs w:val="21"/>
              </w:rPr>
              <w:t>服务时</w:t>
            </w:r>
            <w:r>
              <w:rPr>
                <w:rFonts w:hint="eastAsia" w:ascii="宋体" w:hAnsi="宋体" w:cs="宋体"/>
                <w:szCs w:val="21"/>
              </w:rPr>
              <w:t>间</w:t>
            </w: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spacing w:before="274" w:line="222" w:lineRule="auto"/>
              <w:ind w:left="119"/>
              <w:rPr>
                <w:rFonts w:ascii="宋体" w:hAnsi="宋体" w:cs="宋体"/>
                <w:szCs w:val="21"/>
              </w:rPr>
            </w:pPr>
            <w:r>
              <w:rPr>
                <w:rFonts w:hint="eastAsia" w:ascii="宋体" w:hAnsi="宋体" w:cs="宋体"/>
                <w:spacing w:val="-3"/>
                <w:szCs w:val="21"/>
              </w:rPr>
              <w:t>备</w:t>
            </w:r>
            <w:r>
              <w:rPr>
                <w:rFonts w:hint="eastAsia" w:ascii="宋体" w:hAnsi="宋体" w:cs="宋体"/>
                <w:spacing w:val="-2"/>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jc w:val="center"/>
        </w:trPr>
        <w:tc>
          <w:tcPr>
            <w:tcW w:w="1079"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5"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77"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c>
          <w:tcPr>
            <w:tcW w:w="1082" w:type="dxa"/>
            <w:tcBorders>
              <w:top w:val="single" w:color="000000" w:sz="2" w:space="0"/>
              <w:left w:val="single" w:color="000000" w:sz="2" w:space="0"/>
              <w:bottom w:val="single" w:color="000000" w:sz="2" w:space="0"/>
              <w:right w:val="single" w:color="000000" w:sz="2" w:space="0"/>
              <w:tl2br w:val="nil"/>
              <w:tr2bl w:val="nil"/>
            </w:tcBorders>
          </w:tcPr>
          <w:p>
            <w:pPr>
              <w:rPr>
                <w:rFonts w:ascii="宋体" w:hAnsi="宋体" w:cs="宋体"/>
                <w:szCs w:val="21"/>
              </w:rPr>
            </w:pPr>
          </w:p>
        </w:tc>
      </w:tr>
    </w:tbl>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1" w:lineRule="auto"/>
        <w:rPr>
          <w:rFonts w:ascii="宋体" w:hAnsi="宋体" w:cs="宋体"/>
          <w:szCs w:val="21"/>
        </w:rPr>
      </w:pPr>
    </w:p>
    <w:p>
      <w:pPr>
        <w:spacing w:line="252" w:lineRule="auto"/>
        <w:rPr>
          <w:rFonts w:ascii="宋体" w:hAnsi="宋体" w:cs="宋体"/>
          <w:szCs w:val="21"/>
        </w:rPr>
      </w:pPr>
    </w:p>
    <w:p>
      <w:pPr>
        <w:spacing w:line="252" w:lineRule="auto"/>
        <w:rPr>
          <w:rFonts w:ascii="宋体" w:hAnsi="宋体" w:cs="宋体"/>
          <w:szCs w:val="21"/>
        </w:rPr>
      </w:pPr>
    </w:p>
    <w:p>
      <w:pPr>
        <w:spacing w:line="252" w:lineRule="auto"/>
        <w:rPr>
          <w:rFonts w:ascii="宋体" w:hAnsi="宋体" w:cs="宋体"/>
          <w:szCs w:val="21"/>
        </w:rPr>
      </w:pPr>
    </w:p>
    <w:p>
      <w:pPr>
        <w:spacing w:before="68" w:line="220" w:lineRule="auto"/>
        <w:ind w:left="123"/>
        <w:rPr>
          <w:rFonts w:ascii="宋体" w:hAnsi="宋体" w:cs="宋体"/>
          <w:szCs w:val="21"/>
        </w:rPr>
      </w:pPr>
      <w:r>
        <w:rPr>
          <w:rFonts w:hint="eastAsia" w:ascii="宋体" w:hAnsi="宋体" w:cs="宋体"/>
          <w:spacing w:val="17"/>
          <w:szCs w:val="21"/>
        </w:rPr>
        <w:t>投标单位(盖章)：</w:t>
      </w:r>
    </w:p>
    <w:p>
      <w:pPr>
        <w:spacing w:line="334" w:lineRule="auto"/>
        <w:rPr>
          <w:rFonts w:ascii="宋体" w:hAnsi="宋体" w:cs="宋体"/>
          <w:szCs w:val="21"/>
        </w:rPr>
      </w:pPr>
    </w:p>
    <w:p>
      <w:pPr>
        <w:spacing w:before="69" w:line="221" w:lineRule="auto"/>
        <w:ind w:left="121"/>
        <w:rPr>
          <w:rFonts w:ascii="宋体" w:hAnsi="宋体" w:cs="宋体"/>
          <w:spacing w:val="10"/>
          <w:szCs w:val="21"/>
        </w:rPr>
        <w:sectPr>
          <w:headerReference r:id="rId7" w:type="default"/>
          <w:footerReference r:id="rId8" w:type="default"/>
          <w:pgSz w:w="11900" w:h="16820"/>
          <w:pgMar w:top="1428" w:right="1586" w:bottom="875" w:left="1687" w:header="0" w:footer="715" w:gutter="0"/>
          <w:cols w:space="720" w:num="1"/>
        </w:sectPr>
      </w:pPr>
      <w:r>
        <w:rPr>
          <w:rFonts w:hint="eastAsia" w:ascii="宋体" w:hAnsi="宋体" w:cs="宋体"/>
          <w:spacing w:val="18"/>
          <w:szCs w:val="21"/>
        </w:rPr>
        <w:t>法</w:t>
      </w:r>
      <w:r>
        <w:rPr>
          <w:rFonts w:hint="eastAsia" w:ascii="宋体" w:hAnsi="宋体" w:cs="宋体"/>
          <w:spacing w:val="10"/>
          <w:szCs w:val="21"/>
        </w:rPr>
        <w:t>定代表人或授权代表(签字)：</w:t>
      </w:r>
    </w:p>
    <w:p>
      <w:pPr>
        <w:snapToGrid w:val="0"/>
        <w:spacing w:line="300" w:lineRule="auto"/>
        <w:outlineLvl w:val="0"/>
        <w:rPr>
          <w:rFonts w:ascii="宋体" w:hAnsi="宋体" w:cs="宋体"/>
          <w:sz w:val="32"/>
          <w:szCs w:val="32"/>
        </w:rPr>
      </w:pPr>
      <w:r>
        <w:rPr>
          <w:rFonts w:hint="eastAsia" w:ascii="宋体" w:hAnsi="宋体" w:cs="宋体"/>
          <w:sz w:val="32"/>
          <w:szCs w:val="32"/>
        </w:rPr>
        <w:t>附件12</w:t>
      </w:r>
    </w:p>
    <w:p>
      <w:pPr>
        <w:jc w:val="center"/>
        <w:rPr>
          <w:rFonts w:ascii="宋体" w:hAnsi="宋体" w:cs="宋体"/>
          <w:bCs/>
          <w:sz w:val="44"/>
          <w:szCs w:val="44"/>
        </w:rPr>
      </w:pPr>
      <w:r>
        <w:rPr>
          <w:rFonts w:hint="eastAsia" w:ascii="宋体" w:hAnsi="宋体" w:cs="宋体"/>
          <w:bCs/>
          <w:sz w:val="44"/>
          <w:szCs w:val="44"/>
        </w:rPr>
        <w:t>质疑函范本</w:t>
      </w:r>
    </w:p>
    <w:p>
      <w:pPr>
        <w:adjustRightInd w:val="0"/>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adjustRightInd w:val="0"/>
        <w:snapToGrid w:val="0"/>
        <w:spacing w:line="360" w:lineRule="auto"/>
        <w:rPr>
          <w:rFonts w:ascii="宋体" w:hAnsi="宋体" w:cs="宋体"/>
          <w:sz w:val="24"/>
          <w:u w:val="dotted"/>
        </w:rPr>
      </w:pPr>
      <w:r>
        <w:rPr>
          <w:rFonts w:hint="eastAsia" w:ascii="宋体" w:hAnsi="宋体" w:cs="宋体"/>
          <w:sz w:val="24"/>
        </w:rPr>
        <w:t>质疑供应商：</w:t>
      </w:r>
    </w:p>
    <w:p>
      <w:pPr>
        <w:adjustRightInd w:val="0"/>
        <w:snapToGrid w:val="0"/>
        <w:spacing w:line="360" w:lineRule="auto"/>
        <w:rPr>
          <w:rFonts w:ascii="宋体" w:hAnsi="宋体" w:cs="宋体"/>
          <w:sz w:val="24"/>
        </w:rPr>
      </w:pPr>
      <w:r>
        <w:rPr>
          <w:rFonts w:hint="eastAsia" w:ascii="宋体" w:hAnsi="宋体" w:cs="宋体"/>
          <w:sz w:val="24"/>
        </w:rPr>
        <w:t>地址：邮编：</w:t>
      </w:r>
    </w:p>
    <w:p>
      <w:pPr>
        <w:adjustRightInd w:val="0"/>
        <w:snapToGrid w:val="0"/>
        <w:spacing w:line="360" w:lineRule="auto"/>
        <w:rPr>
          <w:rFonts w:ascii="宋体" w:hAnsi="宋体" w:cs="宋体"/>
          <w:sz w:val="24"/>
        </w:rPr>
      </w:pPr>
      <w:r>
        <w:rPr>
          <w:rFonts w:hint="eastAsia" w:ascii="宋体" w:hAnsi="宋体" w:cs="宋体"/>
          <w:sz w:val="24"/>
        </w:rPr>
        <w:t>联系人：联系电话：</w:t>
      </w:r>
    </w:p>
    <w:p>
      <w:pPr>
        <w:adjustRightInd w:val="0"/>
        <w:snapToGrid w:val="0"/>
        <w:spacing w:line="360" w:lineRule="auto"/>
        <w:rPr>
          <w:rFonts w:ascii="宋体" w:hAnsi="宋体" w:cs="宋体"/>
          <w:sz w:val="24"/>
          <w:u w:val="dotted"/>
        </w:rPr>
      </w:pPr>
      <w:r>
        <w:rPr>
          <w:rFonts w:hint="eastAsia" w:ascii="宋体" w:hAnsi="宋体" w:cs="宋体"/>
          <w:sz w:val="24"/>
        </w:rPr>
        <w:t>授权代表：</w:t>
      </w:r>
    </w:p>
    <w:p>
      <w:pPr>
        <w:adjustRightInd w:val="0"/>
        <w:snapToGrid w:val="0"/>
        <w:spacing w:line="360" w:lineRule="auto"/>
        <w:rPr>
          <w:rFonts w:ascii="宋体" w:hAnsi="宋体" w:cs="宋体"/>
          <w:sz w:val="24"/>
        </w:rPr>
      </w:pPr>
      <w:r>
        <w:rPr>
          <w:rFonts w:hint="eastAsia" w:ascii="宋体" w:hAnsi="宋体" w:cs="宋体"/>
          <w:sz w:val="24"/>
        </w:rPr>
        <w:t>联系电话：</w:t>
      </w:r>
    </w:p>
    <w:p>
      <w:pPr>
        <w:adjustRightInd w:val="0"/>
        <w:snapToGrid w:val="0"/>
        <w:spacing w:line="360" w:lineRule="auto"/>
        <w:rPr>
          <w:rFonts w:ascii="宋体" w:hAnsi="宋体" w:cs="宋体"/>
          <w:sz w:val="24"/>
        </w:rPr>
      </w:pPr>
      <w:r>
        <w:rPr>
          <w:rFonts w:hint="eastAsia" w:ascii="宋体" w:hAnsi="宋体" w:cs="宋体"/>
          <w:sz w:val="24"/>
        </w:rPr>
        <w:t>地址：邮编：</w:t>
      </w:r>
    </w:p>
    <w:p>
      <w:pPr>
        <w:adjustRightInd w:val="0"/>
        <w:snapToGrid w:val="0"/>
        <w:spacing w:line="360" w:lineRule="auto"/>
        <w:rPr>
          <w:rFonts w:ascii="宋体" w:hAnsi="宋体" w:cs="宋体"/>
          <w:bCs/>
          <w:sz w:val="24"/>
        </w:rPr>
      </w:pPr>
      <w:r>
        <w:rPr>
          <w:rFonts w:hint="eastAsia" w:ascii="宋体" w:hAnsi="宋体" w:cs="宋体"/>
          <w:bCs/>
          <w:sz w:val="24"/>
        </w:rPr>
        <w:t>二、质疑项目基本情况</w:t>
      </w:r>
    </w:p>
    <w:p>
      <w:pPr>
        <w:adjustRightInd w:val="0"/>
        <w:snapToGrid w:val="0"/>
        <w:spacing w:line="360" w:lineRule="auto"/>
        <w:rPr>
          <w:rFonts w:ascii="宋体" w:hAnsi="宋体" w:cs="宋体"/>
          <w:sz w:val="24"/>
        </w:rPr>
      </w:pPr>
      <w:r>
        <w:rPr>
          <w:rFonts w:hint="eastAsia" w:ascii="宋体" w:hAnsi="宋体" w:cs="宋体"/>
          <w:sz w:val="24"/>
        </w:rPr>
        <w:t>质疑项目的名称：</w:t>
      </w:r>
    </w:p>
    <w:p>
      <w:pPr>
        <w:adjustRightInd w:val="0"/>
        <w:snapToGrid w:val="0"/>
        <w:spacing w:line="360" w:lineRule="auto"/>
        <w:rPr>
          <w:rFonts w:ascii="宋体" w:hAnsi="宋体" w:cs="宋体"/>
          <w:sz w:val="24"/>
        </w:rPr>
      </w:pPr>
      <w:r>
        <w:rPr>
          <w:rFonts w:hint="eastAsia" w:ascii="宋体" w:hAnsi="宋体" w:cs="宋体"/>
          <w:sz w:val="24"/>
        </w:rPr>
        <w:t>质疑项目的编号：包号：</w:t>
      </w:r>
    </w:p>
    <w:p>
      <w:pPr>
        <w:adjustRightInd w:val="0"/>
        <w:snapToGrid w:val="0"/>
        <w:spacing w:line="360" w:lineRule="auto"/>
        <w:rPr>
          <w:rFonts w:ascii="宋体" w:hAnsi="宋体" w:cs="宋体"/>
          <w:sz w:val="24"/>
          <w:u w:val="dotted"/>
        </w:rPr>
      </w:pPr>
      <w:r>
        <w:rPr>
          <w:rFonts w:hint="eastAsia" w:ascii="宋体" w:hAnsi="宋体" w:cs="宋体"/>
          <w:sz w:val="24"/>
        </w:rPr>
        <w:t>采购人名称：</w:t>
      </w:r>
    </w:p>
    <w:p>
      <w:pPr>
        <w:adjustRightInd w:val="0"/>
        <w:snapToGrid w:val="0"/>
        <w:spacing w:line="360" w:lineRule="auto"/>
        <w:rPr>
          <w:rFonts w:ascii="宋体" w:hAnsi="宋体" w:cs="宋体"/>
          <w:sz w:val="24"/>
        </w:rPr>
      </w:pPr>
      <w:r>
        <w:rPr>
          <w:rFonts w:hint="eastAsia" w:ascii="宋体" w:hAnsi="宋体" w:cs="宋体"/>
          <w:sz w:val="24"/>
        </w:rPr>
        <w:t>采购文件获取日期：</w:t>
      </w:r>
    </w:p>
    <w:p>
      <w:pPr>
        <w:adjustRightInd w:val="0"/>
        <w:snapToGrid w:val="0"/>
        <w:spacing w:line="360" w:lineRule="auto"/>
        <w:rPr>
          <w:rFonts w:ascii="宋体" w:hAnsi="宋体" w:cs="宋体"/>
          <w:bCs/>
          <w:sz w:val="24"/>
        </w:rPr>
      </w:pPr>
      <w:r>
        <w:rPr>
          <w:rFonts w:hint="eastAsia" w:ascii="宋体" w:hAnsi="宋体" w:cs="宋体"/>
          <w:bCs/>
          <w:sz w:val="24"/>
        </w:rPr>
        <w:t>三、质疑事项具体内容</w:t>
      </w:r>
    </w:p>
    <w:p>
      <w:pPr>
        <w:adjustRightInd w:val="0"/>
        <w:snapToGrid w:val="0"/>
        <w:spacing w:line="360" w:lineRule="auto"/>
        <w:rPr>
          <w:rFonts w:ascii="宋体" w:hAnsi="宋体" w:cs="宋体"/>
          <w:sz w:val="24"/>
          <w:u w:val="dotted"/>
        </w:rPr>
      </w:pPr>
      <w:r>
        <w:rPr>
          <w:rFonts w:hint="eastAsia" w:ascii="宋体" w:hAnsi="宋体" w:cs="宋体"/>
          <w:sz w:val="24"/>
        </w:rPr>
        <w:t>质疑事项1：</w:t>
      </w:r>
    </w:p>
    <w:p>
      <w:pPr>
        <w:adjustRightInd w:val="0"/>
        <w:snapToGrid w:val="0"/>
        <w:spacing w:line="360" w:lineRule="auto"/>
        <w:rPr>
          <w:rFonts w:ascii="宋体" w:hAnsi="宋体" w:cs="宋体"/>
          <w:sz w:val="24"/>
          <w:u w:val="dotted"/>
        </w:rPr>
      </w:pPr>
      <w:r>
        <w:rPr>
          <w:rFonts w:hint="eastAsia" w:ascii="宋体" w:hAnsi="宋体" w:cs="宋体"/>
          <w:sz w:val="24"/>
        </w:rPr>
        <w:t>事实依据：</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u w:val="dotted"/>
        </w:rPr>
      </w:pPr>
      <w:r>
        <w:rPr>
          <w:rFonts w:hint="eastAsia" w:ascii="宋体" w:hAnsi="宋体" w:cs="宋体"/>
          <w:sz w:val="24"/>
        </w:rPr>
        <w:t>法律依据：</w:t>
      </w:r>
    </w:p>
    <w:p>
      <w:pPr>
        <w:adjustRightInd w:val="0"/>
        <w:snapToGrid w:val="0"/>
        <w:spacing w:line="360" w:lineRule="auto"/>
        <w:rPr>
          <w:rFonts w:ascii="宋体" w:hAnsi="宋体" w:cs="宋体"/>
          <w:sz w:val="24"/>
          <w:u w:val="dotted"/>
        </w:rPr>
      </w:pPr>
    </w:p>
    <w:p>
      <w:pPr>
        <w:adjustRightInd w:val="0"/>
        <w:snapToGrid w:val="0"/>
        <w:spacing w:line="360" w:lineRule="auto"/>
        <w:rPr>
          <w:rFonts w:ascii="宋体" w:hAnsi="宋体" w:cs="宋体"/>
          <w:sz w:val="24"/>
          <w:u w:val="dotted"/>
        </w:rPr>
      </w:pPr>
      <w:r>
        <w:rPr>
          <w:rFonts w:hint="eastAsia" w:ascii="宋体" w:hAnsi="宋体" w:cs="宋体"/>
          <w:sz w:val="24"/>
        </w:rPr>
        <w:t>质疑事项2</w:t>
      </w:r>
    </w:p>
    <w:p>
      <w:pPr>
        <w:adjustRightInd w:val="0"/>
        <w:snapToGrid w:val="0"/>
        <w:spacing w:line="360" w:lineRule="auto"/>
        <w:rPr>
          <w:rFonts w:ascii="宋体" w:hAnsi="宋体" w:cs="宋体"/>
          <w:sz w:val="24"/>
        </w:rPr>
      </w:pPr>
      <w:r>
        <w:rPr>
          <w:rFonts w:hint="eastAsia" w:ascii="宋体" w:hAnsi="宋体" w:cs="宋体"/>
          <w:sz w:val="24"/>
        </w:rPr>
        <w:t>……</w:t>
      </w:r>
    </w:p>
    <w:p>
      <w:pPr>
        <w:adjustRightInd w:val="0"/>
        <w:snapToGrid w:val="0"/>
        <w:spacing w:line="360" w:lineRule="auto"/>
        <w:rPr>
          <w:rFonts w:ascii="宋体" w:hAnsi="宋体" w:cs="宋体"/>
          <w:bCs/>
          <w:sz w:val="24"/>
        </w:rPr>
      </w:pPr>
      <w:r>
        <w:rPr>
          <w:rFonts w:hint="eastAsia" w:ascii="宋体" w:hAnsi="宋体" w:cs="宋体"/>
          <w:bCs/>
          <w:sz w:val="24"/>
        </w:rPr>
        <w:t>四、与质疑事项相关的质疑请求</w:t>
      </w:r>
    </w:p>
    <w:p>
      <w:pPr>
        <w:adjustRightInd w:val="0"/>
        <w:snapToGrid w:val="0"/>
        <w:spacing w:line="360" w:lineRule="auto"/>
        <w:rPr>
          <w:rFonts w:ascii="宋体" w:hAnsi="宋体" w:cs="宋体"/>
          <w:sz w:val="24"/>
          <w:u w:val="dotted"/>
        </w:rPr>
      </w:pPr>
      <w:r>
        <w:rPr>
          <w:rFonts w:hint="eastAsia" w:ascii="宋体" w:hAnsi="宋体" w:cs="宋体"/>
          <w:sz w:val="24"/>
        </w:rPr>
        <w:t>请求：</w:t>
      </w:r>
    </w:p>
    <w:p>
      <w:pPr>
        <w:rPr>
          <w:rFonts w:ascii="宋体" w:hAnsi="宋体" w:cs="宋体"/>
          <w:sz w:val="24"/>
        </w:rPr>
      </w:pPr>
      <w:r>
        <w:rPr>
          <w:rFonts w:hint="eastAsia" w:ascii="宋体" w:hAnsi="宋体" w:cs="宋体"/>
          <w:sz w:val="24"/>
        </w:rPr>
        <w:t xml:space="preserve">签字(签章)：                   公章：                      </w:t>
      </w:r>
    </w:p>
    <w:p>
      <w:pPr>
        <w:rPr>
          <w:rFonts w:ascii="宋体" w:hAnsi="宋体" w:cs="宋体"/>
          <w:sz w:val="24"/>
        </w:rPr>
      </w:pPr>
      <w:r>
        <w:rPr>
          <w:rFonts w:hint="eastAsia" w:ascii="宋体" w:hAnsi="宋体" w:cs="宋体"/>
          <w:sz w:val="24"/>
        </w:rPr>
        <w:t xml:space="preserve">日期：    </w:t>
      </w:r>
    </w:p>
    <w:p>
      <w:pPr>
        <w:adjustRightInd w:val="0"/>
        <w:snapToGrid w:val="0"/>
        <w:spacing w:line="360" w:lineRule="auto"/>
        <w:rPr>
          <w:rFonts w:ascii="宋体" w:hAnsi="宋体" w:cs="宋体"/>
          <w:sz w:val="24"/>
        </w:rPr>
      </w:pPr>
    </w:p>
    <w:p>
      <w:pPr>
        <w:pStyle w:val="2"/>
        <w:rPr>
          <w:rFonts w:ascii="宋体" w:hAnsi="宋体" w:cs="宋体"/>
          <w:sz w:val="24"/>
        </w:rPr>
      </w:pPr>
    </w:p>
    <w:p/>
    <w:p>
      <w:pPr>
        <w:rPr>
          <w:rFonts w:ascii="宋体" w:hAnsi="宋体" w:cs="宋体"/>
          <w:b/>
          <w:sz w:val="24"/>
        </w:rPr>
      </w:pPr>
    </w:p>
    <w:p>
      <w:pPr>
        <w:rPr>
          <w:rFonts w:ascii="宋体" w:hAnsi="宋体" w:cs="宋体"/>
          <w:b/>
          <w:sz w:val="24"/>
        </w:rPr>
        <w:sectPr>
          <w:headerReference r:id="rId9" w:type="default"/>
          <w:footerReference r:id="rId10" w:type="default"/>
          <w:pgSz w:w="11906" w:h="16838"/>
          <w:pgMar w:top="1440" w:right="1797" w:bottom="1440" w:left="1797" w:header="851" w:footer="992" w:gutter="0"/>
          <w:cols w:space="720" w:num="1"/>
          <w:docGrid w:type="lines" w:linePitch="312" w:charSpace="0"/>
        </w:sectPr>
      </w:pPr>
    </w:p>
    <w:p>
      <w:pPr>
        <w:rPr>
          <w:rFonts w:ascii="宋体" w:hAnsi="宋体" w:cs="宋体"/>
          <w:b/>
          <w:sz w:val="24"/>
        </w:rPr>
      </w:pPr>
      <w:r>
        <w:rPr>
          <w:rFonts w:hint="eastAsia" w:ascii="宋体" w:hAnsi="宋体" w:cs="宋体"/>
          <w:b/>
          <w:sz w:val="24"/>
        </w:rPr>
        <w:t>质疑函制作说明：</w:t>
      </w:r>
    </w:p>
    <w:p>
      <w:pPr>
        <w:widowControl/>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sz w:val="24"/>
        </w:rPr>
      </w:pPr>
    </w:p>
    <w:sectPr>
      <w:headerReference r:id="rId11" w:type="default"/>
      <w:footerReference r:id="rId12"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272699"/>
      <w:docPartObj>
        <w:docPartGallery w:val="AutoText"/>
      </w:docPartObj>
    </w:sdtPr>
    <w:sdtContent>
      <w:p>
        <w:pPr>
          <w:pStyle w:val="12"/>
          <w:jc w:val="center"/>
          <w:rPr>
            <w:rFonts w:hint="eastAsia"/>
          </w:rPr>
        </w:pPr>
        <w:r>
          <w:fldChar w:fldCharType="begin"/>
        </w:r>
        <w:r>
          <w:instrText xml:space="preserve">PAGE   \* MERGEFORMAT</w:instrText>
        </w:r>
        <w:r>
          <w:fldChar w:fldCharType="separate"/>
        </w:r>
        <w:r>
          <w:rPr>
            <w:lang w:val="zh-CN"/>
          </w:rPr>
          <w:t>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0"/>
      <w:rPr>
        <w:rFonts w:hint="eastAsia" w:eastAsiaTheme="minorEastAsia"/>
        <w:sz w:val="18"/>
        <w:szCs w:val="18"/>
      </w:rPr>
    </w:pPr>
    <w:r>
      <w:rPr>
        <w:rFonts w:hint="eastAsia" w:eastAsiaTheme="minorEastAsia"/>
        <w:spacing w:val="-2"/>
        <w:sz w:val="18"/>
        <w:szCs w:val="18"/>
      </w:rPr>
      <w:t>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0"/>
      <w:rPr>
        <w:rFonts w:hint="eastAsia" w:eastAsiaTheme="minorEastAsia"/>
        <w:sz w:val="18"/>
        <w:szCs w:val="18"/>
      </w:rPr>
    </w:pPr>
    <w:r>
      <w:rPr>
        <w:rFonts w:hint="eastAsia" w:eastAsiaTheme="minorEastAsia"/>
        <w:spacing w:val="-2"/>
        <w:sz w:val="18"/>
        <w:szCs w:val="18"/>
      </w:rPr>
      <w:t>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0"/>
      <w:rPr>
        <w:rFonts w:hint="eastAsia" w:eastAsiaTheme="minorEastAsia"/>
        <w:sz w:val="18"/>
        <w:szCs w:val="18"/>
      </w:rPr>
    </w:pPr>
    <w:r>
      <w:rPr>
        <w:rFonts w:hint="eastAsia" w:eastAsiaTheme="minorEastAsia"/>
        <w:spacing w:val="-2"/>
        <w:sz w:val="18"/>
        <w:szCs w:val="18"/>
      </w:rPr>
      <w:t>49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38F99"/>
    <w:multiLevelType w:val="singleLevel"/>
    <w:tmpl w:val="AAA38F99"/>
    <w:lvl w:ilvl="0" w:tentative="0">
      <w:start w:val="3"/>
      <w:numFmt w:val="decimal"/>
      <w:suff w:val="space"/>
      <w:lvlText w:val="%1."/>
      <w:lvlJc w:val="left"/>
    </w:lvl>
  </w:abstractNum>
  <w:abstractNum w:abstractNumId="1">
    <w:nsid w:val="DB007EA0"/>
    <w:multiLevelType w:val="multilevel"/>
    <w:tmpl w:val="DB007EA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DD7B40D7"/>
    <w:multiLevelType w:val="singleLevel"/>
    <w:tmpl w:val="DD7B40D7"/>
    <w:lvl w:ilvl="0" w:tentative="0">
      <w:start w:val="1"/>
      <w:numFmt w:val="decimal"/>
      <w:suff w:val="nothing"/>
      <w:lvlText w:val="%1、"/>
      <w:lvlJc w:val="left"/>
    </w:lvl>
  </w:abstractNum>
  <w:abstractNum w:abstractNumId="3">
    <w:nsid w:val="E9DCC72E"/>
    <w:multiLevelType w:val="singleLevel"/>
    <w:tmpl w:val="E9DCC72E"/>
    <w:lvl w:ilvl="0" w:tentative="0">
      <w:start w:val="4"/>
      <w:numFmt w:val="chineseCounting"/>
      <w:suff w:val="nothing"/>
      <w:lvlText w:val="%1、"/>
      <w:lvlJc w:val="left"/>
      <w:rPr>
        <w:rFonts w:hint="eastAsia"/>
      </w:rPr>
    </w:lvl>
  </w:abstractNum>
  <w:abstractNum w:abstractNumId="4">
    <w:nsid w:val="FC7A09AA"/>
    <w:multiLevelType w:val="singleLevel"/>
    <w:tmpl w:val="FC7A09AA"/>
    <w:lvl w:ilvl="0" w:tentative="0">
      <w:start w:val="1"/>
      <w:numFmt w:val="chineseCounting"/>
      <w:suff w:val="nothing"/>
      <w:lvlText w:val="%1、"/>
      <w:lvlJc w:val="left"/>
      <w:rPr>
        <w:rFonts w:hint="eastAsia"/>
      </w:rPr>
    </w:lvl>
  </w:abstractNum>
  <w:abstractNum w:abstractNumId="5">
    <w:nsid w:val="048A1505"/>
    <w:multiLevelType w:val="singleLevel"/>
    <w:tmpl w:val="048A1505"/>
    <w:lvl w:ilvl="0" w:tentative="0">
      <w:start w:val="1"/>
      <w:numFmt w:val="chineseCounting"/>
      <w:suff w:val="nothing"/>
      <w:lvlText w:val="%1、"/>
      <w:lvlJc w:val="left"/>
      <w:rPr>
        <w:rFonts w:hint="eastAsia"/>
      </w:rPr>
    </w:lvl>
  </w:abstractNum>
  <w:abstractNum w:abstractNumId="6">
    <w:nsid w:val="74053B1A"/>
    <w:multiLevelType w:val="multilevel"/>
    <w:tmpl w:val="74053B1A"/>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3"/>
  </w:num>
  <w:num w:numId="2">
    <w:abstractNumId w:val="1"/>
  </w:num>
  <w:num w:numId="3">
    <w:abstractNumId w:val="0"/>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YTUyOTBlYjBiMDdkNGE3OWEwNTU0YWIxZGZlZmUifQ=="/>
  </w:docVars>
  <w:rsids>
    <w:rsidRoot w:val="456C3785"/>
    <w:rsid w:val="0000018C"/>
    <w:rsid w:val="000334F0"/>
    <w:rsid w:val="000446EC"/>
    <w:rsid w:val="000506FA"/>
    <w:rsid w:val="0009015E"/>
    <w:rsid w:val="000B16C4"/>
    <w:rsid w:val="000D1CBD"/>
    <w:rsid w:val="000F34DA"/>
    <w:rsid w:val="000F7AF1"/>
    <w:rsid w:val="001114F1"/>
    <w:rsid w:val="00131007"/>
    <w:rsid w:val="001411DA"/>
    <w:rsid w:val="0015068A"/>
    <w:rsid w:val="00160055"/>
    <w:rsid w:val="00164F61"/>
    <w:rsid w:val="001E06F1"/>
    <w:rsid w:val="001E6154"/>
    <w:rsid w:val="00204A40"/>
    <w:rsid w:val="00236E8B"/>
    <w:rsid w:val="002459B3"/>
    <w:rsid w:val="0025253F"/>
    <w:rsid w:val="00273226"/>
    <w:rsid w:val="002733B2"/>
    <w:rsid w:val="002D0971"/>
    <w:rsid w:val="002E79FC"/>
    <w:rsid w:val="003013C0"/>
    <w:rsid w:val="0031276A"/>
    <w:rsid w:val="00331229"/>
    <w:rsid w:val="00352812"/>
    <w:rsid w:val="0043282C"/>
    <w:rsid w:val="004579EA"/>
    <w:rsid w:val="00476CB7"/>
    <w:rsid w:val="00490D0B"/>
    <w:rsid w:val="004B1C12"/>
    <w:rsid w:val="004C0BEC"/>
    <w:rsid w:val="004F4602"/>
    <w:rsid w:val="00500781"/>
    <w:rsid w:val="00530329"/>
    <w:rsid w:val="00534D3F"/>
    <w:rsid w:val="005361AE"/>
    <w:rsid w:val="00540BBF"/>
    <w:rsid w:val="005921A4"/>
    <w:rsid w:val="005A1E91"/>
    <w:rsid w:val="005C7C58"/>
    <w:rsid w:val="006030AA"/>
    <w:rsid w:val="00622851"/>
    <w:rsid w:val="006313E6"/>
    <w:rsid w:val="00641CCB"/>
    <w:rsid w:val="00663EBF"/>
    <w:rsid w:val="00681BEF"/>
    <w:rsid w:val="00696D74"/>
    <w:rsid w:val="006A1103"/>
    <w:rsid w:val="006B14EF"/>
    <w:rsid w:val="006B7FDD"/>
    <w:rsid w:val="006C1AF2"/>
    <w:rsid w:val="006E16A2"/>
    <w:rsid w:val="006E7CE2"/>
    <w:rsid w:val="00714B3A"/>
    <w:rsid w:val="00763D1C"/>
    <w:rsid w:val="00764521"/>
    <w:rsid w:val="00794B66"/>
    <w:rsid w:val="007A200F"/>
    <w:rsid w:val="007C6F7D"/>
    <w:rsid w:val="007F1925"/>
    <w:rsid w:val="007F712D"/>
    <w:rsid w:val="0080149C"/>
    <w:rsid w:val="008424C9"/>
    <w:rsid w:val="008B26BA"/>
    <w:rsid w:val="008B5BFD"/>
    <w:rsid w:val="008C0FBD"/>
    <w:rsid w:val="008C666E"/>
    <w:rsid w:val="009078B8"/>
    <w:rsid w:val="00925949"/>
    <w:rsid w:val="00947114"/>
    <w:rsid w:val="00950E75"/>
    <w:rsid w:val="0099405F"/>
    <w:rsid w:val="00997DD0"/>
    <w:rsid w:val="009C7371"/>
    <w:rsid w:val="009E32B5"/>
    <w:rsid w:val="00A00647"/>
    <w:rsid w:val="00A10CFD"/>
    <w:rsid w:val="00A15FC0"/>
    <w:rsid w:val="00A25C8F"/>
    <w:rsid w:val="00AA657A"/>
    <w:rsid w:val="00AA689D"/>
    <w:rsid w:val="00AC315C"/>
    <w:rsid w:val="00AC3532"/>
    <w:rsid w:val="00AE6155"/>
    <w:rsid w:val="00B31A0C"/>
    <w:rsid w:val="00B564E6"/>
    <w:rsid w:val="00B84E94"/>
    <w:rsid w:val="00BA0BC3"/>
    <w:rsid w:val="00BB3642"/>
    <w:rsid w:val="00BD463F"/>
    <w:rsid w:val="00C36733"/>
    <w:rsid w:val="00C373A9"/>
    <w:rsid w:val="00C37E9F"/>
    <w:rsid w:val="00C8266D"/>
    <w:rsid w:val="00CB103D"/>
    <w:rsid w:val="00CC6F5E"/>
    <w:rsid w:val="00CD3260"/>
    <w:rsid w:val="00CD71C0"/>
    <w:rsid w:val="00CE3932"/>
    <w:rsid w:val="00CF3907"/>
    <w:rsid w:val="00D36D27"/>
    <w:rsid w:val="00D40337"/>
    <w:rsid w:val="00D46A62"/>
    <w:rsid w:val="00D61509"/>
    <w:rsid w:val="00D81A80"/>
    <w:rsid w:val="00D9144E"/>
    <w:rsid w:val="00DA6C3F"/>
    <w:rsid w:val="00DB0C66"/>
    <w:rsid w:val="00DE0525"/>
    <w:rsid w:val="00E17973"/>
    <w:rsid w:val="00E3051C"/>
    <w:rsid w:val="00E30DAC"/>
    <w:rsid w:val="00E72356"/>
    <w:rsid w:val="00EB3A19"/>
    <w:rsid w:val="00EE5707"/>
    <w:rsid w:val="00F127AC"/>
    <w:rsid w:val="00F17E62"/>
    <w:rsid w:val="00F22BF2"/>
    <w:rsid w:val="00F266E0"/>
    <w:rsid w:val="00F40E12"/>
    <w:rsid w:val="00F4277A"/>
    <w:rsid w:val="00F45F63"/>
    <w:rsid w:val="00F756AA"/>
    <w:rsid w:val="00F92E4E"/>
    <w:rsid w:val="00FD07F6"/>
    <w:rsid w:val="00FD44BF"/>
    <w:rsid w:val="00FE7F28"/>
    <w:rsid w:val="011064F4"/>
    <w:rsid w:val="015820D4"/>
    <w:rsid w:val="02D013EE"/>
    <w:rsid w:val="048A2C79"/>
    <w:rsid w:val="04B922CF"/>
    <w:rsid w:val="04F86712"/>
    <w:rsid w:val="055D473D"/>
    <w:rsid w:val="06C25303"/>
    <w:rsid w:val="06ED07F3"/>
    <w:rsid w:val="079179AC"/>
    <w:rsid w:val="08C33B51"/>
    <w:rsid w:val="093D02D7"/>
    <w:rsid w:val="099840E3"/>
    <w:rsid w:val="09A93852"/>
    <w:rsid w:val="0B81543F"/>
    <w:rsid w:val="0BB15D06"/>
    <w:rsid w:val="0C9275AC"/>
    <w:rsid w:val="0E4A4226"/>
    <w:rsid w:val="0E682BD6"/>
    <w:rsid w:val="0FE8213B"/>
    <w:rsid w:val="103013B3"/>
    <w:rsid w:val="12581869"/>
    <w:rsid w:val="1281087D"/>
    <w:rsid w:val="132A1445"/>
    <w:rsid w:val="145816BD"/>
    <w:rsid w:val="152E2865"/>
    <w:rsid w:val="15463992"/>
    <w:rsid w:val="16D74125"/>
    <w:rsid w:val="1A2B0E45"/>
    <w:rsid w:val="1A6D66DD"/>
    <w:rsid w:val="1AFD7E70"/>
    <w:rsid w:val="1B1568E3"/>
    <w:rsid w:val="1B846F14"/>
    <w:rsid w:val="1B882FC0"/>
    <w:rsid w:val="1BEE06B3"/>
    <w:rsid w:val="1C63269A"/>
    <w:rsid w:val="1D5C7B6A"/>
    <w:rsid w:val="1D9A21C7"/>
    <w:rsid w:val="1DCB6BF8"/>
    <w:rsid w:val="1DD22BDA"/>
    <w:rsid w:val="1E3343B7"/>
    <w:rsid w:val="1F484B72"/>
    <w:rsid w:val="1F82230F"/>
    <w:rsid w:val="213138D9"/>
    <w:rsid w:val="218F6ED5"/>
    <w:rsid w:val="21AD0AEE"/>
    <w:rsid w:val="225B65CC"/>
    <w:rsid w:val="23360D58"/>
    <w:rsid w:val="24830332"/>
    <w:rsid w:val="2508151B"/>
    <w:rsid w:val="25424FFE"/>
    <w:rsid w:val="260A7989"/>
    <w:rsid w:val="28301A45"/>
    <w:rsid w:val="29056F59"/>
    <w:rsid w:val="29AE7934"/>
    <w:rsid w:val="2A5F7045"/>
    <w:rsid w:val="2C150989"/>
    <w:rsid w:val="2CCF04B2"/>
    <w:rsid w:val="2D1D315B"/>
    <w:rsid w:val="2F5F50D9"/>
    <w:rsid w:val="308E0F4A"/>
    <w:rsid w:val="325854E6"/>
    <w:rsid w:val="332E605A"/>
    <w:rsid w:val="33A16306"/>
    <w:rsid w:val="34AA740D"/>
    <w:rsid w:val="34D8130F"/>
    <w:rsid w:val="3546084A"/>
    <w:rsid w:val="35AB1E1F"/>
    <w:rsid w:val="369446A1"/>
    <w:rsid w:val="377A54BF"/>
    <w:rsid w:val="393578EF"/>
    <w:rsid w:val="3AE828D3"/>
    <w:rsid w:val="3B212BB6"/>
    <w:rsid w:val="3DAC1380"/>
    <w:rsid w:val="3E5E3444"/>
    <w:rsid w:val="3F3E20F1"/>
    <w:rsid w:val="3FD265B0"/>
    <w:rsid w:val="415B3C6B"/>
    <w:rsid w:val="421502BE"/>
    <w:rsid w:val="431770EC"/>
    <w:rsid w:val="44000AFA"/>
    <w:rsid w:val="4403767A"/>
    <w:rsid w:val="444A73AD"/>
    <w:rsid w:val="451332D3"/>
    <w:rsid w:val="456C3785"/>
    <w:rsid w:val="46570CD8"/>
    <w:rsid w:val="480164D8"/>
    <w:rsid w:val="48385EFD"/>
    <w:rsid w:val="48F17B98"/>
    <w:rsid w:val="4A767D69"/>
    <w:rsid w:val="4AB73255"/>
    <w:rsid w:val="4AF409E9"/>
    <w:rsid w:val="4CD13E60"/>
    <w:rsid w:val="4CF73299"/>
    <w:rsid w:val="4CFB424B"/>
    <w:rsid w:val="4D9D661E"/>
    <w:rsid w:val="4DC62DB4"/>
    <w:rsid w:val="50232B33"/>
    <w:rsid w:val="51061877"/>
    <w:rsid w:val="511D0771"/>
    <w:rsid w:val="51B5544F"/>
    <w:rsid w:val="523F3581"/>
    <w:rsid w:val="52D65A4D"/>
    <w:rsid w:val="532A16EF"/>
    <w:rsid w:val="534665A2"/>
    <w:rsid w:val="53B36EAB"/>
    <w:rsid w:val="544B5DC1"/>
    <w:rsid w:val="54CF2A32"/>
    <w:rsid w:val="54E83610"/>
    <w:rsid w:val="55996DE1"/>
    <w:rsid w:val="57CB6F54"/>
    <w:rsid w:val="57EA1B02"/>
    <w:rsid w:val="58671F52"/>
    <w:rsid w:val="58D5226F"/>
    <w:rsid w:val="593E2DC5"/>
    <w:rsid w:val="5B4B2B4A"/>
    <w:rsid w:val="5C321F88"/>
    <w:rsid w:val="5DCA2D6F"/>
    <w:rsid w:val="5E5F6248"/>
    <w:rsid w:val="5EBE0BF0"/>
    <w:rsid w:val="60822B6A"/>
    <w:rsid w:val="61EF67B9"/>
    <w:rsid w:val="629B6898"/>
    <w:rsid w:val="630A1EA3"/>
    <w:rsid w:val="64FF2A33"/>
    <w:rsid w:val="660A310C"/>
    <w:rsid w:val="66D47E98"/>
    <w:rsid w:val="67226C7E"/>
    <w:rsid w:val="67357A01"/>
    <w:rsid w:val="68570D81"/>
    <w:rsid w:val="69557094"/>
    <w:rsid w:val="6A4B221F"/>
    <w:rsid w:val="6A592C86"/>
    <w:rsid w:val="6B410E60"/>
    <w:rsid w:val="6B7E0A3A"/>
    <w:rsid w:val="6B8C5395"/>
    <w:rsid w:val="6C516F13"/>
    <w:rsid w:val="6C590693"/>
    <w:rsid w:val="6CDE3990"/>
    <w:rsid w:val="6D281727"/>
    <w:rsid w:val="6DA805BC"/>
    <w:rsid w:val="6F8920EE"/>
    <w:rsid w:val="70187047"/>
    <w:rsid w:val="71500A63"/>
    <w:rsid w:val="71EA4A14"/>
    <w:rsid w:val="71F43592"/>
    <w:rsid w:val="72337D3A"/>
    <w:rsid w:val="72C658E2"/>
    <w:rsid w:val="73053D00"/>
    <w:rsid w:val="73FA0329"/>
    <w:rsid w:val="74942A15"/>
    <w:rsid w:val="761561D2"/>
    <w:rsid w:val="766A1AF6"/>
    <w:rsid w:val="77C31E46"/>
    <w:rsid w:val="79707F8B"/>
    <w:rsid w:val="79E354F6"/>
    <w:rsid w:val="79FA3F2A"/>
    <w:rsid w:val="7A0B74CE"/>
    <w:rsid w:val="7A1B7E60"/>
    <w:rsid w:val="7A5D5D8A"/>
    <w:rsid w:val="7B3E1D34"/>
    <w:rsid w:val="7BAD4BF5"/>
    <w:rsid w:val="7C2154D6"/>
    <w:rsid w:val="7D470C83"/>
    <w:rsid w:val="7DE467BB"/>
    <w:rsid w:val="7E2568A0"/>
    <w:rsid w:val="7E7D759F"/>
    <w:rsid w:val="7F022DEC"/>
    <w:rsid w:val="7F5958E9"/>
    <w:rsid w:val="7F6D458E"/>
    <w:rsid w:val="7F8B4D7A"/>
    <w:rsid w:val="FFF8B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340" w:after="330" w:line="578" w:lineRule="auto"/>
      <w:outlineLvl w:val="0"/>
    </w:pPr>
    <w:rPr>
      <w:b/>
      <w:kern w:val="44"/>
      <w:sz w:val="44"/>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paragraph" w:styleId="5">
    <w:name w:val="heading 4"/>
    <w:basedOn w:val="1"/>
    <w:next w:val="1"/>
    <w:qFormat/>
    <w:uiPriority w:val="9"/>
    <w:pPr>
      <w:keepNext/>
      <w:jc w:val="center"/>
      <w:outlineLvl w:val="3"/>
    </w:pPr>
    <w:rPr>
      <w:rFonts w:eastAsia="新宋体"/>
      <w:kern w:val="0"/>
      <w:sz w:val="30"/>
      <w:szCs w:val="21"/>
    </w:rPr>
  </w:style>
  <w:style w:type="paragraph" w:styleId="6">
    <w:name w:val="heading 6"/>
    <w:basedOn w:val="1"/>
    <w:next w:val="7"/>
    <w:qFormat/>
    <w:uiPriority w:val="9"/>
    <w:pPr>
      <w:keepNext/>
      <w:jc w:val="center"/>
      <w:outlineLvl w:val="5"/>
    </w:pPr>
    <w:rPr>
      <w:b/>
      <w:kern w:val="0"/>
      <w:sz w:val="44"/>
      <w:szCs w:val="20"/>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00" w:lineRule="exact"/>
    </w:pPr>
    <w:rPr>
      <w:rFonts w:ascii="楷体_GB2312"/>
      <w:sz w:val="28"/>
    </w:rPr>
  </w:style>
  <w:style w:type="paragraph" w:styleId="7">
    <w:name w:val="Normal Indent"/>
    <w:basedOn w:val="1"/>
    <w:qFormat/>
    <w:uiPriority w:val="0"/>
    <w:pPr>
      <w:ind w:firstLine="420"/>
    </w:pPr>
    <w:rPr>
      <w:kern w:val="0"/>
      <w:sz w:val="20"/>
      <w:szCs w:val="20"/>
    </w:rPr>
  </w:style>
  <w:style w:type="paragraph" w:styleId="8">
    <w:name w:val="Body Text Indent"/>
    <w:basedOn w:val="1"/>
    <w:next w:val="9"/>
    <w:qFormat/>
    <w:uiPriority w:val="0"/>
    <w:pPr>
      <w:ind w:left="765"/>
    </w:pPr>
    <w:rPr>
      <w:rFonts w:ascii="仿宋_GB2312" w:eastAsia="仿宋_GB2312"/>
      <w:kern w:val="0"/>
      <w:sz w:val="28"/>
      <w:szCs w:val="20"/>
    </w:rPr>
  </w:style>
  <w:style w:type="paragraph" w:styleId="9">
    <w:name w:val="envelope return"/>
    <w:basedOn w:val="1"/>
    <w:unhideWhenUsed/>
    <w:qFormat/>
    <w:uiPriority w:val="99"/>
    <w:pPr>
      <w:snapToGrid w:val="0"/>
    </w:pPr>
    <w:rPr>
      <w:rFonts w:ascii="Arial" w:hAnsi="Arial"/>
    </w:rPr>
  </w:style>
  <w:style w:type="paragraph" w:styleId="10">
    <w:name w:val="toc 3"/>
    <w:basedOn w:val="1"/>
    <w:next w:val="1"/>
    <w:qFormat/>
    <w:uiPriority w:val="0"/>
    <w:pPr>
      <w:ind w:left="840" w:leftChars="400"/>
    </w:pPr>
  </w:style>
  <w:style w:type="paragraph" w:styleId="11">
    <w:name w:val="Balloon Text"/>
    <w:basedOn w:val="1"/>
    <w:link w:val="40"/>
    <w:qFormat/>
    <w:uiPriority w:val="0"/>
    <w:rPr>
      <w:sz w:val="18"/>
      <w:szCs w:val="18"/>
    </w:rPr>
  </w:style>
  <w:style w:type="paragraph" w:styleId="12">
    <w:name w:val="footer"/>
    <w:basedOn w:val="1"/>
    <w:link w:val="41"/>
    <w:qFormat/>
    <w:uiPriority w:val="99"/>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Normal (Web)"/>
    <w:basedOn w:val="1"/>
    <w:qFormat/>
    <w:uiPriority w:val="0"/>
    <w:pPr>
      <w:spacing w:beforeAutospacing="1" w:afterAutospacing="1"/>
      <w:jc w:val="left"/>
    </w:pPr>
    <w:rPr>
      <w:kern w:val="0"/>
      <w:sz w:val="24"/>
    </w:rPr>
  </w:style>
  <w:style w:type="paragraph" w:styleId="15">
    <w:name w:val="Body Text First Indent 2"/>
    <w:basedOn w:val="8"/>
    <w:qFormat/>
    <w:uiPriority w:val="0"/>
    <w:pPr>
      <w:ind w:firstLine="420" w:firstLineChars="200"/>
    </w:pPr>
  </w:style>
  <w:style w:type="table" w:styleId="17">
    <w:name w:val="Table Grid"/>
    <w:basedOn w:val="1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0"/>
    <w:rPr>
      <w:rFonts w:hint="eastAsia" w:ascii="微软雅黑" w:hAnsi="微软雅黑" w:eastAsia="微软雅黑" w:cs="微软雅黑"/>
      <w:color w:val="02396F"/>
      <w:u w:val="single"/>
    </w:rPr>
  </w:style>
  <w:style w:type="character" w:styleId="20">
    <w:name w:val="Emphasis"/>
    <w:basedOn w:val="18"/>
    <w:qFormat/>
    <w:uiPriority w:val="0"/>
    <w:rPr>
      <w:i/>
    </w:rPr>
  </w:style>
  <w:style w:type="character" w:styleId="21">
    <w:name w:val="Hyperlink"/>
    <w:basedOn w:val="18"/>
    <w:qFormat/>
    <w:uiPriority w:val="0"/>
    <w:rPr>
      <w:rFonts w:hint="eastAsia" w:ascii="微软雅黑" w:hAnsi="微软雅黑" w:eastAsia="微软雅黑" w:cs="微软雅黑"/>
      <w:color w:val="02396F"/>
      <w:u w:val="single"/>
    </w:rPr>
  </w:style>
  <w:style w:type="paragraph" w:customStyle="1" w:styleId="22">
    <w:name w:val="Default"/>
    <w:next w:val="1"/>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3">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redfilefwwh"/>
    <w:basedOn w:val="18"/>
    <w:qFormat/>
    <w:uiPriority w:val="0"/>
    <w:rPr>
      <w:color w:val="BA2636"/>
      <w:sz w:val="18"/>
      <w:szCs w:val="18"/>
    </w:rPr>
  </w:style>
  <w:style w:type="character" w:customStyle="1" w:styleId="28">
    <w:name w:val="next2"/>
    <w:basedOn w:val="18"/>
    <w:qFormat/>
    <w:uiPriority w:val="0"/>
    <w:rPr>
      <w:rFonts w:ascii="微软雅黑" w:hAnsi="微软雅黑" w:eastAsia="微软雅黑" w:cs="微软雅黑"/>
      <w:sz w:val="21"/>
      <w:szCs w:val="21"/>
    </w:rPr>
  </w:style>
  <w:style w:type="character" w:customStyle="1" w:styleId="29">
    <w:name w:val="next3"/>
    <w:basedOn w:val="18"/>
    <w:qFormat/>
    <w:uiPriority w:val="0"/>
    <w:rPr>
      <w:color w:val="888888"/>
    </w:rPr>
  </w:style>
  <w:style w:type="character" w:customStyle="1" w:styleId="30">
    <w:name w:val="prev"/>
    <w:basedOn w:val="18"/>
    <w:qFormat/>
    <w:uiPriority w:val="0"/>
    <w:rPr>
      <w:rFonts w:hint="eastAsia" w:ascii="微软雅黑" w:hAnsi="微软雅黑" w:eastAsia="微软雅黑" w:cs="微软雅黑"/>
      <w:sz w:val="21"/>
      <w:szCs w:val="21"/>
    </w:rPr>
  </w:style>
  <w:style w:type="character" w:customStyle="1" w:styleId="31">
    <w:name w:val="prev1"/>
    <w:basedOn w:val="18"/>
    <w:qFormat/>
    <w:uiPriority w:val="0"/>
    <w:rPr>
      <w:color w:val="888888"/>
    </w:rPr>
  </w:style>
  <w:style w:type="character" w:customStyle="1" w:styleId="32">
    <w:name w:val="cfdate"/>
    <w:basedOn w:val="18"/>
    <w:qFormat/>
    <w:uiPriority w:val="0"/>
    <w:rPr>
      <w:color w:val="333333"/>
      <w:sz w:val="18"/>
      <w:szCs w:val="18"/>
    </w:rPr>
  </w:style>
  <w:style w:type="character" w:customStyle="1" w:styleId="33">
    <w:name w:val="qxdate"/>
    <w:basedOn w:val="18"/>
    <w:qFormat/>
    <w:uiPriority w:val="0"/>
    <w:rPr>
      <w:color w:val="333333"/>
      <w:sz w:val="18"/>
      <w:szCs w:val="18"/>
    </w:rPr>
  </w:style>
  <w:style w:type="character" w:customStyle="1" w:styleId="34">
    <w:name w:val="gjfg"/>
    <w:basedOn w:val="18"/>
    <w:qFormat/>
    <w:uiPriority w:val="0"/>
  </w:style>
  <w:style w:type="character" w:customStyle="1" w:styleId="35">
    <w:name w:val="displayarti"/>
    <w:basedOn w:val="18"/>
    <w:qFormat/>
    <w:uiPriority w:val="0"/>
    <w:rPr>
      <w:color w:val="FFFFFF"/>
      <w:shd w:val="clear" w:color="auto" w:fill="A00000"/>
    </w:rPr>
  </w:style>
  <w:style w:type="character" w:customStyle="1" w:styleId="36">
    <w:name w:val="redfilenumber"/>
    <w:basedOn w:val="18"/>
    <w:qFormat/>
    <w:uiPriority w:val="0"/>
    <w:rPr>
      <w:color w:val="BA2636"/>
      <w:sz w:val="18"/>
      <w:szCs w:val="18"/>
    </w:rPr>
  </w:style>
  <w:style w:type="character" w:customStyle="1" w:styleId="37">
    <w:name w:val="prev2"/>
    <w:basedOn w:val="18"/>
    <w:qFormat/>
    <w:uiPriority w:val="0"/>
    <w:rPr>
      <w:color w:val="888888"/>
    </w:rPr>
  </w:style>
  <w:style w:type="character" w:customStyle="1" w:styleId="38">
    <w:name w:val="prev3"/>
    <w:basedOn w:val="18"/>
    <w:qFormat/>
    <w:uiPriority w:val="0"/>
    <w:rPr>
      <w:rFonts w:ascii="微软雅黑" w:hAnsi="微软雅黑" w:eastAsia="微软雅黑" w:cs="微软雅黑"/>
      <w:sz w:val="21"/>
      <w:szCs w:val="21"/>
    </w:rPr>
  </w:style>
  <w:style w:type="paragraph" w:customStyle="1" w:styleId="39">
    <w:name w:val="列出段落1"/>
    <w:basedOn w:val="1"/>
    <w:qFormat/>
    <w:uiPriority w:val="0"/>
    <w:pPr>
      <w:ind w:firstLine="420" w:firstLineChars="200"/>
    </w:pPr>
    <w:rPr>
      <w:rFonts w:cs="黑体"/>
      <w:szCs w:val="22"/>
    </w:rPr>
  </w:style>
  <w:style w:type="character" w:customStyle="1" w:styleId="40">
    <w:name w:val="批注框文本 Char"/>
    <w:basedOn w:val="18"/>
    <w:link w:val="11"/>
    <w:qFormat/>
    <w:uiPriority w:val="0"/>
    <w:rPr>
      <w:kern w:val="2"/>
      <w:sz w:val="18"/>
      <w:szCs w:val="18"/>
    </w:rPr>
  </w:style>
  <w:style w:type="character" w:customStyle="1" w:styleId="41">
    <w:name w:val="页脚 Char"/>
    <w:basedOn w:val="18"/>
    <w:link w:val="12"/>
    <w:qFormat/>
    <w:uiPriority w:val="99"/>
    <w:rPr>
      <w:kern w:val="2"/>
      <w:sz w:val="18"/>
      <w:szCs w:val="24"/>
    </w:rPr>
  </w:style>
  <w:style w:type="character" w:customStyle="1" w:styleId="42">
    <w:name w:val="标题 1 Char"/>
    <w:basedOn w:val="18"/>
    <w:link w:val="3"/>
    <w:qFormat/>
    <w:uiPriority w:val="0"/>
    <w:rPr>
      <w:b/>
      <w:kern w:val="44"/>
      <w:sz w:val="44"/>
      <w:szCs w:val="24"/>
    </w:rPr>
  </w:style>
  <w:style w:type="character" w:customStyle="1" w:styleId="43">
    <w:name w:val="fouce"/>
    <w:basedOn w:val="18"/>
    <w:qFormat/>
    <w:uiPriority w:val="0"/>
    <w:rPr>
      <w:rFonts w:ascii="寰蒋闆呴粦" w:hAnsi="寰蒋闆呴粦" w:eastAsia="寰蒋闆呴粦" w:cs="寰蒋闆呴粦"/>
      <w:color w:val="FFFFFF"/>
      <w:sz w:val="27"/>
      <w:szCs w:val="27"/>
      <w:shd w:val="clear" w:color="auto" w:fill="1067B7"/>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F7FE9-34C4-4F5A-8FA0-B3ACD324FE25}">
  <ds:schemaRefs/>
</ds:datastoreItem>
</file>

<file path=docProps/app.xml><?xml version="1.0" encoding="utf-8"?>
<Properties xmlns="http://schemas.openxmlformats.org/officeDocument/2006/extended-properties" xmlns:vt="http://schemas.openxmlformats.org/officeDocument/2006/docPropsVTypes">
  <Template>Normal.dotm</Template>
  <Pages>49</Pages>
  <Words>4129</Words>
  <Characters>23540</Characters>
  <Lines>196</Lines>
  <Paragraphs>55</Paragraphs>
  <TotalTime>47</TotalTime>
  <ScaleCrop>false</ScaleCrop>
  <LinksUpToDate>false</LinksUpToDate>
  <CharactersWithSpaces>27614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2022-12-09T01:31:00Z</dcterms:created>
  <dc:creator>L</dc:creator>
  <cp:lastModifiedBy>Administrator</cp:lastModifiedBy>
  <cp:lastPrinted>2022-12-14T01:01:00Z</cp:lastPrinted>
  <dcterms:modified xsi:type="dcterms:W3CDTF">2023-04-23T06:10:38Z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95C9CE05D18B463687BE0C9B1F77EAC8</vt:lpwstr>
  </property>
</Properties>
</file>